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C3" w:rsidRDefault="00DD5FC3" w:rsidP="00BF39C6">
      <w:pPr>
        <w:pStyle w:val="BodyText"/>
        <w:spacing w:before="7"/>
        <w:jc w:val="both"/>
        <w:rPr>
          <w:sz w:val="3"/>
        </w:rPr>
      </w:pPr>
    </w:p>
    <w:p w:rsidR="00DD5FC3" w:rsidRDefault="00DD5FC3" w:rsidP="00BE2E11">
      <w:pPr>
        <w:pStyle w:val="BodyText"/>
        <w:spacing w:before="7"/>
        <w:jc w:val="center"/>
        <w:rPr>
          <w:sz w:val="17"/>
        </w:rPr>
      </w:pPr>
    </w:p>
    <w:p w:rsidR="0064161E" w:rsidRDefault="0064161E" w:rsidP="0064161E">
      <w:pPr>
        <w:rPr>
          <w:b/>
          <w:lang w:val="en-AU"/>
        </w:rPr>
      </w:pPr>
      <w:bookmarkStart w:id="0" w:name="Tender_Document_for_Demolition_(Recall-0"/>
      <w:bookmarkStart w:id="1" w:name="/"/>
      <w:bookmarkEnd w:id="0"/>
      <w:bookmarkEnd w:id="1"/>
      <w:r>
        <w:rPr>
          <w:b/>
        </w:rPr>
        <w:t xml:space="preserve">                                                                  INDIAN BANK</w:t>
      </w:r>
    </w:p>
    <w:p w:rsidR="0064161E" w:rsidRPr="00FE5821" w:rsidRDefault="0064161E" w:rsidP="0064161E">
      <w:r>
        <w:t xml:space="preserve">                                                              </w:t>
      </w:r>
      <w:r w:rsidR="007257F2">
        <w:t>Bahraich</w:t>
      </w:r>
      <w:r w:rsidRPr="00FE5821">
        <w:t xml:space="preserve"> Zonal Office </w:t>
      </w:r>
    </w:p>
    <w:p w:rsidR="0064161E" w:rsidRPr="00FE5821" w:rsidRDefault="0064161E" w:rsidP="0064161E">
      <w:r>
        <w:rPr>
          <w:b/>
          <w:bCs/>
          <w:shd w:val="clear" w:color="auto" w:fill="FFFFFF"/>
        </w:rPr>
        <w:t xml:space="preserve">                         </w:t>
      </w:r>
      <w:r w:rsidR="007257F2">
        <w:rPr>
          <w:b/>
          <w:bCs/>
          <w:shd w:val="clear" w:color="auto" w:fill="FFFFFF"/>
        </w:rPr>
        <w:t xml:space="preserve">                               </w:t>
      </w:r>
      <w:r w:rsidRPr="00FE5821">
        <w:rPr>
          <w:b/>
          <w:bCs/>
          <w:shd w:val="clear" w:color="auto" w:fill="FFFFFF"/>
        </w:rPr>
        <w:t xml:space="preserve"> </w:t>
      </w:r>
      <w:r w:rsidR="007257F2">
        <w:rPr>
          <w:b/>
          <w:bCs/>
          <w:shd w:val="clear" w:color="auto" w:fill="FFFFFF"/>
        </w:rPr>
        <w:t xml:space="preserve">114 Raipur Raja,Jail Road </w:t>
      </w:r>
    </w:p>
    <w:p w:rsidR="0064161E" w:rsidRPr="00FE5821" w:rsidRDefault="0064161E" w:rsidP="0064161E">
      <w:pPr>
        <w:rPr>
          <w:b/>
          <w:lang w:val="en-AU"/>
        </w:rPr>
      </w:pPr>
      <w:r>
        <w:rPr>
          <w:b/>
          <w:bCs/>
          <w:shd w:val="clear" w:color="auto" w:fill="FFFFFF"/>
        </w:rPr>
        <w:t xml:space="preserve">                                                     </w:t>
      </w:r>
      <w:r w:rsidR="007257F2">
        <w:rPr>
          <w:b/>
          <w:bCs/>
          <w:shd w:val="clear" w:color="auto" w:fill="FFFFFF"/>
        </w:rPr>
        <w:t xml:space="preserve">          </w:t>
      </w:r>
      <w:r w:rsidRPr="00FE5821">
        <w:rPr>
          <w:b/>
          <w:bCs/>
          <w:shd w:val="clear" w:color="auto" w:fill="FFFFFF"/>
        </w:rPr>
        <w:t xml:space="preserve"> </w:t>
      </w:r>
      <w:r w:rsidR="007257F2">
        <w:rPr>
          <w:b/>
          <w:bCs/>
          <w:shd w:val="clear" w:color="auto" w:fill="FFFFFF"/>
        </w:rPr>
        <w:t>Bahraich</w:t>
      </w:r>
      <w:r w:rsidRPr="00FE5821">
        <w:rPr>
          <w:b/>
          <w:bCs/>
          <w:shd w:val="clear" w:color="auto" w:fill="FFFFFF"/>
        </w:rPr>
        <w:t xml:space="preserve">​,U.P. </w:t>
      </w:r>
      <w:r w:rsidR="007257F2">
        <w:rPr>
          <w:b/>
          <w:bCs/>
          <w:shd w:val="clear" w:color="auto" w:fill="FFFFFF"/>
        </w:rPr>
        <w:t>271801</w:t>
      </w:r>
    </w:p>
    <w:p w:rsidR="003174FF" w:rsidRPr="00FB515F" w:rsidRDefault="003174FF" w:rsidP="00BF39C6">
      <w:pPr>
        <w:jc w:val="both"/>
        <w:rPr>
          <w:sz w:val="20"/>
          <w:szCs w:val="20"/>
        </w:rPr>
      </w:pPr>
    </w:p>
    <w:p w:rsidR="003174FF" w:rsidRPr="00FB515F" w:rsidRDefault="003174FF" w:rsidP="00BF39C6">
      <w:pPr>
        <w:jc w:val="both"/>
        <w:rPr>
          <w:sz w:val="20"/>
          <w:szCs w:val="20"/>
        </w:rPr>
      </w:pPr>
    </w:p>
    <w:p w:rsidR="003174FF" w:rsidRPr="00FB515F" w:rsidRDefault="003174FF" w:rsidP="00BF39C6">
      <w:pPr>
        <w:jc w:val="both"/>
        <w:rPr>
          <w:sz w:val="20"/>
          <w:szCs w:val="20"/>
        </w:rPr>
      </w:pPr>
    </w:p>
    <w:p w:rsidR="003174FF" w:rsidRPr="00FB515F" w:rsidRDefault="003174FF" w:rsidP="00BF39C6">
      <w:pPr>
        <w:jc w:val="both"/>
        <w:rPr>
          <w:sz w:val="20"/>
          <w:szCs w:val="20"/>
        </w:rPr>
      </w:pPr>
    </w:p>
    <w:p w:rsidR="003174FF" w:rsidRPr="00FB515F" w:rsidRDefault="003174FF" w:rsidP="00BF39C6">
      <w:pPr>
        <w:jc w:val="both"/>
        <w:rPr>
          <w:sz w:val="20"/>
          <w:szCs w:val="20"/>
        </w:rPr>
      </w:pPr>
    </w:p>
    <w:p w:rsidR="003174FF" w:rsidRPr="00FB515F" w:rsidRDefault="000016F9" w:rsidP="00BF39C6">
      <w:pPr>
        <w:jc w:val="both"/>
        <w:rPr>
          <w:sz w:val="20"/>
          <w:szCs w:val="20"/>
        </w:rPr>
      </w:pPr>
      <w:r>
        <w:rPr>
          <w:sz w:val="20"/>
          <w:szCs w:val="20"/>
        </w:rPr>
        <w:pict>
          <v:shapetype id="_x0000_t202" coordsize="21600,21600" o:spt="202" path="m,l,21600r21600,l21600,xe">
            <v:stroke joinstyle="miter"/>
            <v:path gradientshapeok="t" o:connecttype="rect"/>
          </v:shapetype>
          <v:shape id="_x0000_s1028" type="#_x0000_t202" style="position:absolute;left:0;text-align:left;margin-left:0;margin-top:18.2pt;width:498.55pt;height:83.1pt;z-index:251660288;mso-wrap-distance-left:9.05pt;mso-wrap-distance-right:9.05pt;mso-position-horizontal:center;mso-position-horizontal-relative:margin" strokeweight="1.1pt">
            <v:fill opacity="0" color2="black"/>
            <v:stroke linestyle="thinThin"/>
            <v:textbox style="mso-next-textbox:#_x0000_s1028" inset="0,0,0,0">
              <w:txbxContent>
                <w:tbl>
                  <w:tblPr>
                    <w:tblW w:w="9781" w:type="dxa"/>
                    <w:jc w:val="center"/>
                    <w:tblLayout w:type="fixed"/>
                    <w:tblLook w:val="0000" w:firstRow="0" w:lastRow="0" w:firstColumn="0" w:lastColumn="0" w:noHBand="0" w:noVBand="0"/>
                  </w:tblPr>
                  <w:tblGrid>
                    <w:gridCol w:w="9781"/>
                  </w:tblGrid>
                  <w:tr w:rsidR="006830DF" w:rsidTr="00B13BCD">
                    <w:trPr>
                      <w:trHeight w:val="2959"/>
                      <w:jc w:val="center"/>
                    </w:trPr>
                    <w:tc>
                      <w:tcPr>
                        <w:tcW w:w="9781" w:type="dxa"/>
                      </w:tcPr>
                      <w:p w:rsidR="00B13BCD" w:rsidRPr="00B13BCD" w:rsidRDefault="00B13BCD" w:rsidP="00B13BCD">
                        <w:pPr>
                          <w:tabs>
                            <w:tab w:val="left" w:pos="840"/>
                            <w:tab w:val="center" w:pos="5535"/>
                          </w:tabs>
                          <w:snapToGrid w:val="0"/>
                          <w:ind w:left="90" w:hanging="90"/>
                          <w:jc w:val="center"/>
                          <w:rPr>
                            <w:b/>
                          </w:rPr>
                        </w:pPr>
                        <w:r w:rsidRPr="00B13BCD">
                          <w:rPr>
                            <w:b/>
                          </w:rPr>
                          <w:t xml:space="preserve">TENDER  DOCUMENT </w:t>
                        </w:r>
                      </w:p>
                      <w:p w:rsidR="00B13BCD" w:rsidRPr="00B13BCD" w:rsidRDefault="00B13BCD" w:rsidP="00B13BCD">
                        <w:pPr>
                          <w:tabs>
                            <w:tab w:val="left" w:pos="840"/>
                            <w:tab w:val="center" w:pos="5535"/>
                          </w:tabs>
                          <w:snapToGrid w:val="0"/>
                          <w:ind w:left="90" w:hanging="90"/>
                          <w:jc w:val="center"/>
                          <w:rPr>
                            <w:b/>
                          </w:rPr>
                        </w:pPr>
                      </w:p>
                      <w:p w:rsidR="0064161E" w:rsidRDefault="0064161E" w:rsidP="0064161E">
                        <w:pPr>
                          <w:jc w:val="center"/>
                          <w:rPr>
                            <w:b/>
                            <w:caps/>
                            <w:sz w:val="32"/>
                            <w:szCs w:val="32"/>
                          </w:rPr>
                        </w:pPr>
                        <w:r>
                          <w:rPr>
                            <w:b/>
                            <w:sz w:val="32"/>
                            <w:szCs w:val="32"/>
                          </w:rPr>
                          <w:t xml:space="preserve">Construction of </w:t>
                        </w:r>
                        <w:r w:rsidR="007257F2">
                          <w:rPr>
                            <w:b/>
                            <w:sz w:val="32"/>
                            <w:szCs w:val="32"/>
                          </w:rPr>
                          <w:t>Boundary wall</w:t>
                        </w:r>
                        <w:r>
                          <w:rPr>
                            <w:b/>
                            <w:sz w:val="32"/>
                            <w:szCs w:val="32"/>
                          </w:rPr>
                          <w:t xml:space="preserve"> at </w:t>
                        </w:r>
                        <w:r w:rsidR="00902A15">
                          <w:rPr>
                            <w:b/>
                            <w:sz w:val="32"/>
                            <w:szCs w:val="32"/>
                          </w:rPr>
                          <w:t>INDSETI Shravsti</w:t>
                        </w:r>
                        <w:r w:rsidR="007257F2" w:rsidRPr="007257F2">
                          <w:rPr>
                            <w:b/>
                            <w:sz w:val="32"/>
                            <w:szCs w:val="32"/>
                          </w:rPr>
                          <w:t xml:space="preserve"> sitauted at Village-Jokhaniya,Block-Sirsiya Distt Shravasti</w:t>
                        </w:r>
                      </w:p>
                      <w:p w:rsidR="006830DF" w:rsidRPr="002F1716" w:rsidRDefault="006830DF" w:rsidP="00857E1F">
                        <w:pPr>
                          <w:tabs>
                            <w:tab w:val="left" w:pos="840"/>
                            <w:tab w:val="center" w:pos="5535"/>
                          </w:tabs>
                          <w:snapToGrid w:val="0"/>
                          <w:ind w:left="90" w:hanging="90"/>
                          <w:jc w:val="center"/>
                          <w:rPr>
                            <w:b/>
                            <w:bCs/>
                            <w:caps/>
                            <w:sz w:val="28"/>
                            <w:szCs w:val="21"/>
                          </w:rPr>
                        </w:pPr>
                      </w:p>
                    </w:tc>
                  </w:tr>
                </w:tbl>
                <w:p w:rsidR="006830DF" w:rsidRDefault="006830DF"/>
              </w:txbxContent>
            </v:textbox>
            <w10:wrap type="square" side="largest" anchorx="margin"/>
          </v:shape>
        </w:pict>
      </w:r>
    </w:p>
    <w:p w:rsidR="003174FF" w:rsidRPr="00FB515F" w:rsidRDefault="003174FF" w:rsidP="00BF39C6">
      <w:pPr>
        <w:jc w:val="both"/>
        <w:rPr>
          <w:b/>
          <w:sz w:val="20"/>
          <w:szCs w:val="20"/>
        </w:rPr>
      </w:pPr>
    </w:p>
    <w:p w:rsidR="003174FF" w:rsidRDefault="003174FF" w:rsidP="00BF39C6">
      <w:pPr>
        <w:pStyle w:val="FootnoteText"/>
        <w:jc w:val="both"/>
        <w:rPr>
          <w:rFonts w:ascii="Arial" w:hAnsi="Arial" w:cs="Arial"/>
          <w:lang w:val="en-IN"/>
        </w:rPr>
      </w:pPr>
    </w:p>
    <w:p w:rsidR="003174FF" w:rsidRDefault="003174FF" w:rsidP="00BF39C6">
      <w:pPr>
        <w:pStyle w:val="FootnoteText"/>
        <w:jc w:val="both"/>
        <w:rPr>
          <w:rFonts w:ascii="Arial" w:hAnsi="Arial" w:cs="Arial"/>
          <w:lang w:val="en-IN"/>
        </w:rPr>
      </w:pPr>
      <w:r>
        <w:rPr>
          <w:rFonts w:ascii="Arial" w:hAnsi="Arial" w:cs="Arial"/>
          <w:lang w:val="en-IN"/>
        </w:rPr>
        <w:t xml:space="preserve">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3174FF" w:rsidRPr="00940793" w:rsidTr="00145BF3">
        <w:tc>
          <w:tcPr>
            <w:tcW w:w="4394" w:type="dxa"/>
          </w:tcPr>
          <w:p w:rsidR="003174FF" w:rsidRPr="00940793" w:rsidRDefault="003174FF" w:rsidP="00BF39C6">
            <w:pPr>
              <w:pStyle w:val="FootnoteText"/>
              <w:jc w:val="both"/>
              <w:rPr>
                <w:rFonts w:ascii="Arial" w:hAnsi="Arial" w:cs="Arial"/>
                <w:lang w:val="en-IN"/>
              </w:rPr>
            </w:pPr>
          </w:p>
          <w:p w:rsidR="003174FF" w:rsidRPr="00940793" w:rsidRDefault="003174FF" w:rsidP="00BF39C6">
            <w:pPr>
              <w:pStyle w:val="FootnoteText"/>
              <w:jc w:val="both"/>
              <w:rPr>
                <w:rFonts w:ascii="Arial" w:hAnsi="Arial" w:cs="Arial"/>
                <w:b/>
                <w:sz w:val="28"/>
                <w:szCs w:val="28"/>
                <w:lang w:val="en-IN"/>
              </w:rPr>
            </w:pPr>
            <w:r w:rsidRPr="00940793">
              <w:rPr>
                <w:rFonts w:ascii="Arial" w:hAnsi="Arial" w:cs="Arial"/>
                <w:b/>
                <w:lang w:val="en-IN"/>
              </w:rPr>
              <w:t xml:space="preserve">      </w:t>
            </w:r>
            <w:r>
              <w:rPr>
                <w:rFonts w:ascii="Arial" w:hAnsi="Arial" w:cs="Arial"/>
                <w:b/>
                <w:sz w:val="28"/>
                <w:szCs w:val="28"/>
                <w:lang w:val="en-IN"/>
              </w:rPr>
              <w:t xml:space="preserve">PART-II  FINANCIAL </w:t>
            </w:r>
            <w:r w:rsidRPr="00940793">
              <w:rPr>
                <w:rFonts w:ascii="Arial" w:hAnsi="Arial" w:cs="Arial"/>
                <w:b/>
                <w:sz w:val="28"/>
                <w:szCs w:val="28"/>
                <w:lang w:val="en-IN"/>
              </w:rPr>
              <w:t xml:space="preserve"> BID </w:t>
            </w:r>
          </w:p>
          <w:p w:rsidR="003174FF" w:rsidRPr="00940793" w:rsidRDefault="003174FF" w:rsidP="00BF39C6">
            <w:pPr>
              <w:pStyle w:val="FootnoteText"/>
              <w:jc w:val="both"/>
              <w:rPr>
                <w:rFonts w:ascii="Arial" w:hAnsi="Arial" w:cs="Arial"/>
                <w:lang w:val="en-IN"/>
              </w:rPr>
            </w:pPr>
          </w:p>
        </w:tc>
      </w:tr>
    </w:tbl>
    <w:p w:rsidR="003174FF" w:rsidRDefault="003174FF" w:rsidP="00BF39C6">
      <w:pPr>
        <w:pStyle w:val="FootnoteText"/>
        <w:jc w:val="both"/>
        <w:rPr>
          <w:rFonts w:ascii="Arial" w:hAnsi="Arial" w:cs="Arial"/>
          <w:lang w:val="en-IN"/>
        </w:rPr>
      </w:pPr>
    </w:p>
    <w:p w:rsidR="003174FF" w:rsidRPr="00FB515F" w:rsidRDefault="003174FF" w:rsidP="00BF39C6">
      <w:pPr>
        <w:pStyle w:val="FootnoteText"/>
        <w:jc w:val="both"/>
        <w:rPr>
          <w:rFonts w:ascii="Arial" w:hAnsi="Arial" w:cs="Arial"/>
          <w:lang w:val="en-IN"/>
        </w:rPr>
      </w:pPr>
    </w:p>
    <w:p w:rsidR="003174FF" w:rsidRPr="00FB515F" w:rsidRDefault="003174FF" w:rsidP="00BF39C6">
      <w:pPr>
        <w:pStyle w:val="FootnoteText"/>
        <w:jc w:val="both"/>
        <w:rPr>
          <w:rFonts w:ascii="Arial" w:hAnsi="Arial" w:cs="Arial"/>
          <w:lang w:val="en-IN"/>
        </w:rPr>
      </w:pPr>
    </w:p>
    <w:p w:rsidR="003174FF" w:rsidRPr="00FB515F" w:rsidRDefault="003174FF" w:rsidP="00BF39C6">
      <w:pPr>
        <w:adjustRightInd w:val="0"/>
        <w:ind w:right="-691"/>
        <w:jc w:val="both"/>
        <w:rPr>
          <w:b/>
          <w:bCs/>
          <w:sz w:val="20"/>
          <w:szCs w:val="20"/>
        </w:rPr>
      </w:pPr>
      <w:r w:rsidRPr="00FB515F">
        <w:rPr>
          <w:b/>
          <w:bCs/>
          <w:sz w:val="20"/>
          <w:szCs w:val="20"/>
        </w:rPr>
        <w:t xml:space="preserve">Ref.No: </w:t>
      </w:r>
      <w:r w:rsidR="00902A15">
        <w:rPr>
          <w:b/>
          <w:bCs/>
          <w:sz w:val="20"/>
          <w:szCs w:val="20"/>
        </w:rPr>
        <w:t>ZOB/PREMISES/2026-27/RSETI</w:t>
      </w:r>
    </w:p>
    <w:p w:rsidR="003174FF" w:rsidRPr="00FB515F" w:rsidRDefault="003174FF" w:rsidP="00BF39C6">
      <w:pPr>
        <w:ind w:right="-691"/>
        <w:jc w:val="both"/>
        <w:rPr>
          <w:b/>
          <w:bCs/>
          <w:sz w:val="20"/>
          <w:szCs w:val="20"/>
        </w:rPr>
      </w:pPr>
      <w:r w:rsidRPr="00FB515F">
        <w:rPr>
          <w:b/>
          <w:bCs/>
          <w:sz w:val="20"/>
          <w:szCs w:val="20"/>
        </w:rPr>
        <w:t>Date</w:t>
      </w:r>
      <w:r w:rsidRPr="00FB515F">
        <w:rPr>
          <w:b/>
          <w:bCs/>
          <w:sz w:val="20"/>
          <w:szCs w:val="20"/>
        </w:rPr>
        <w:tab/>
        <w:t xml:space="preserve">: </w:t>
      </w:r>
      <w:r w:rsidR="00902A15">
        <w:rPr>
          <w:b/>
          <w:bCs/>
          <w:sz w:val="20"/>
          <w:szCs w:val="20"/>
        </w:rPr>
        <w:t>08.05</w:t>
      </w:r>
      <w:r w:rsidR="0064161E">
        <w:rPr>
          <w:color w:val="000000"/>
          <w:sz w:val="20"/>
          <w:szCs w:val="20"/>
        </w:rPr>
        <w:t>.</w:t>
      </w:r>
      <w:r w:rsidR="007257F2">
        <w:rPr>
          <w:color w:val="000000"/>
          <w:sz w:val="20"/>
          <w:szCs w:val="20"/>
        </w:rPr>
        <w:t>2026</w:t>
      </w:r>
    </w:p>
    <w:p w:rsidR="003174FF" w:rsidRPr="00FB515F" w:rsidRDefault="003174FF" w:rsidP="00BF39C6">
      <w:pPr>
        <w:ind w:right="-691"/>
        <w:jc w:val="both"/>
        <w:rPr>
          <w:b/>
          <w:bCs/>
          <w:sz w:val="20"/>
          <w:szCs w:val="20"/>
        </w:rPr>
      </w:pPr>
    </w:p>
    <w:p w:rsidR="003174FF" w:rsidRPr="00FB515F" w:rsidRDefault="003174FF" w:rsidP="00BF39C6">
      <w:pPr>
        <w:ind w:right="-691"/>
        <w:jc w:val="both"/>
        <w:rPr>
          <w:b/>
          <w:bCs/>
          <w:sz w:val="20"/>
          <w:szCs w:val="20"/>
        </w:rPr>
      </w:pPr>
    </w:p>
    <w:p w:rsidR="003174FF" w:rsidRDefault="003174FF" w:rsidP="00BF39C6">
      <w:pPr>
        <w:ind w:right="-691"/>
        <w:jc w:val="both"/>
        <w:rPr>
          <w:b/>
          <w:bCs/>
          <w:sz w:val="20"/>
          <w:szCs w:val="20"/>
        </w:rPr>
      </w:pPr>
    </w:p>
    <w:p w:rsidR="003174FF" w:rsidRPr="00FB515F" w:rsidRDefault="003174FF" w:rsidP="00BF39C6">
      <w:pPr>
        <w:ind w:right="-691"/>
        <w:jc w:val="both"/>
        <w:rPr>
          <w:b/>
          <w:bCs/>
          <w:sz w:val="20"/>
          <w:szCs w:val="20"/>
        </w:rPr>
      </w:pPr>
    </w:p>
    <w:p w:rsidR="003174FF" w:rsidRPr="00FB515F" w:rsidRDefault="003174FF" w:rsidP="00BF39C6">
      <w:pPr>
        <w:ind w:right="-691"/>
        <w:jc w:val="both"/>
        <w:rPr>
          <w:b/>
          <w:bCs/>
          <w:sz w:val="20"/>
          <w:szCs w:val="20"/>
        </w:rPr>
      </w:pPr>
    </w:p>
    <w:p w:rsidR="003174FF" w:rsidRPr="00FB515F" w:rsidRDefault="003174FF" w:rsidP="00BF39C6">
      <w:pPr>
        <w:ind w:right="-691"/>
        <w:jc w:val="both"/>
        <w:rPr>
          <w:b/>
          <w:bCs/>
          <w:sz w:val="20"/>
          <w:szCs w:val="20"/>
        </w:rPr>
      </w:pPr>
      <w:r w:rsidRPr="00FB515F">
        <w:rPr>
          <w:b/>
          <w:bCs/>
          <w:sz w:val="20"/>
          <w:szCs w:val="20"/>
        </w:rPr>
        <w:t>Name of   the contractor:</w:t>
      </w:r>
    </w:p>
    <w:p w:rsidR="003174FF" w:rsidRPr="00FB515F" w:rsidRDefault="003174FF" w:rsidP="00BF39C6">
      <w:pPr>
        <w:ind w:right="-691"/>
        <w:jc w:val="both"/>
        <w:rPr>
          <w:b/>
          <w:bCs/>
          <w:sz w:val="20"/>
          <w:szCs w:val="20"/>
        </w:rPr>
      </w:pPr>
      <w:r w:rsidRPr="00FB515F">
        <w:rPr>
          <w:b/>
          <w:bCs/>
          <w:sz w:val="20"/>
          <w:szCs w:val="20"/>
        </w:rPr>
        <w:t>…………………………………………</w:t>
      </w:r>
    </w:p>
    <w:p w:rsidR="003174FF" w:rsidRPr="00FB515F" w:rsidRDefault="003174FF" w:rsidP="00BF39C6">
      <w:pPr>
        <w:ind w:right="-691"/>
        <w:jc w:val="both"/>
        <w:rPr>
          <w:b/>
          <w:bCs/>
          <w:sz w:val="20"/>
          <w:szCs w:val="20"/>
        </w:rPr>
      </w:pPr>
      <w:r w:rsidRPr="00FB515F">
        <w:rPr>
          <w:b/>
          <w:bCs/>
          <w:sz w:val="20"/>
          <w:szCs w:val="20"/>
        </w:rPr>
        <w:t>…………………………………………</w:t>
      </w:r>
    </w:p>
    <w:p w:rsidR="003174FF" w:rsidRPr="00FB515F" w:rsidRDefault="003174FF" w:rsidP="00BF39C6">
      <w:pPr>
        <w:ind w:right="-691"/>
        <w:jc w:val="both"/>
        <w:rPr>
          <w:b/>
          <w:bCs/>
          <w:sz w:val="20"/>
          <w:szCs w:val="20"/>
        </w:rPr>
      </w:pPr>
      <w:r w:rsidRPr="00FB515F">
        <w:rPr>
          <w:b/>
          <w:bCs/>
          <w:sz w:val="20"/>
          <w:szCs w:val="20"/>
        </w:rPr>
        <w:t>………………………………………….</w:t>
      </w:r>
    </w:p>
    <w:p w:rsidR="003174FF" w:rsidRPr="00FB515F" w:rsidRDefault="003174FF" w:rsidP="00BF39C6">
      <w:pPr>
        <w:ind w:right="-691"/>
        <w:jc w:val="both"/>
        <w:rPr>
          <w:b/>
          <w:bCs/>
          <w:sz w:val="20"/>
          <w:szCs w:val="20"/>
        </w:rPr>
      </w:pPr>
    </w:p>
    <w:p w:rsidR="003174FF" w:rsidRPr="00FB515F" w:rsidRDefault="003174FF" w:rsidP="00BF39C6">
      <w:pPr>
        <w:ind w:right="-691"/>
        <w:jc w:val="both"/>
        <w:rPr>
          <w:b/>
          <w:bCs/>
          <w:sz w:val="20"/>
          <w:szCs w:val="20"/>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7078"/>
      </w:tblGrid>
      <w:tr w:rsidR="0064161E" w:rsidRPr="00FB515F" w:rsidTr="00145BF3">
        <w:tc>
          <w:tcPr>
            <w:tcW w:w="2570" w:type="dxa"/>
          </w:tcPr>
          <w:p w:rsidR="0064161E" w:rsidRPr="00FB515F" w:rsidRDefault="0064161E" w:rsidP="00BF39C6">
            <w:pPr>
              <w:spacing w:line="24" w:lineRule="atLeast"/>
              <w:jc w:val="both"/>
              <w:rPr>
                <w:sz w:val="20"/>
                <w:szCs w:val="20"/>
              </w:rPr>
            </w:pPr>
            <w:r w:rsidRPr="00FB515F">
              <w:rPr>
                <w:sz w:val="20"/>
                <w:szCs w:val="20"/>
              </w:rPr>
              <w:t>Last date of submission of tenders</w:t>
            </w:r>
          </w:p>
        </w:tc>
        <w:tc>
          <w:tcPr>
            <w:tcW w:w="7078" w:type="dxa"/>
          </w:tcPr>
          <w:p w:rsidR="0064161E" w:rsidRPr="00FB515F" w:rsidRDefault="00902A15" w:rsidP="00492D7A">
            <w:pPr>
              <w:jc w:val="both"/>
              <w:rPr>
                <w:sz w:val="20"/>
                <w:szCs w:val="20"/>
              </w:rPr>
            </w:pPr>
            <w:r>
              <w:rPr>
                <w:color w:val="000000"/>
                <w:sz w:val="20"/>
                <w:szCs w:val="20"/>
              </w:rPr>
              <w:t>01.06.</w:t>
            </w:r>
            <w:r w:rsidR="007257F2">
              <w:rPr>
                <w:color w:val="000000"/>
                <w:sz w:val="20"/>
                <w:szCs w:val="20"/>
              </w:rPr>
              <w:t>2026</w:t>
            </w:r>
            <w:r w:rsidR="0064161E" w:rsidRPr="00FB515F">
              <w:rPr>
                <w:color w:val="000000"/>
                <w:sz w:val="20"/>
                <w:szCs w:val="20"/>
              </w:rPr>
              <w:t xml:space="preserve"> </w:t>
            </w:r>
            <w:r w:rsidR="0064161E" w:rsidRPr="00FB515F">
              <w:rPr>
                <w:sz w:val="20"/>
                <w:szCs w:val="20"/>
              </w:rPr>
              <w:t xml:space="preserve">upto 15.00Hrs. at </w:t>
            </w:r>
            <w:r w:rsidR="0064161E" w:rsidRPr="0078166F">
              <w:rPr>
                <w:sz w:val="20"/>
                <w:szCs w:val="20"/>
              </w:rPr>
              <w:t xml:space="preserve">Indian Bank, </w:t>
            </w:r>
            <w:r w:rsidR="0064161E">
              <w:rPr>
                <w:sz w:val="20"/>
                <w:szCs w:val="20"/>
              </w:rPr>
              <w:t xml:space="preserve">Zonal </w:t>
            </w:r>
            <w:r w:rsidR="0064161E" w:rsidRPr="0078166F">
              <w:rPr>
                <w:sz w:val="20"/>
                <w:szCs w:val="20"/>
              </w:rPr>
              <w:t xml:space="preserve"> Office</w:t>
            </w:r>
            <w:r w:rsidR="0064161E">
              <w:rPr>
                <w:sz w:val="20"/>
                <w:szCs w:val="20"/>
              </w:rPr>
              <w:t xml:space="preserve"> </w:t>
            </w:r>
            <w:r w:rsidR="007257F2">
              <w:rPr>
                <w:sz w:val="20"/>
                <w:szCs w:val="20"/>
              </w:rPr>
              <w:t>Bahraich</w:t>
            </w:r>
            <w:r w:rsidR="0064161E">
              <w:rPr>
                <w:sz w:val="20"/>
                <w:szCs w:val="20"/>
              </w:rPr>
              <w:t xml:space="preserve"> </w:t>
            </w:r>
            <w:r w:rsidR="0064161E" w:rsidRPr="0078166F">
              <w:rPr>
                <w:sz w:val="20"/>
                <w:szCs w:val="20"/>
              </w:rPr>
              <w:t xml:space="preserve">, Estate Department, </w:t>
            </w:r>
            <w:r w:rsidR="0064161E">
              <w:rPr>
                <w:sz w:val="20"/>
                <w:szCs w:val="20"/>
              </w:rPr>
              <w:t xml:space="preserve"> </w:t>
            </w:r>
            <w:r w:rsidR="007257F2">
              <w:rPr>
                <w:b/>
                <w:bCs/>
                <w:sz w:val="20"/>
                <w:szCs w:val="20"/>
                <w:shd w:val="clear" w:color="auto" w:fill="FFFFFF"/>
              </w:rPr>
              <w:t>Bahraich</w:t>
            </w:r>
            <w:r w:rsidR="0064161E" w:rsidRPr="00FA0877">
              <w:rPr>
                <w:b/>
                <w:bCs/>
                <w:sz w:val="20"/>
                <w:szCs w:val="20"/>
                <w:shd w:val="clear" w:color="auto" w:fill="FFFFFF"/>
              </w:rPr>
              <w:t xml:space="preserve">​,U.P. </w:t>
            </w:r>
            <w:r w:rsidR="007257F2">
              <w:rPr>
                <w:b/>
                <w:bCs/>
                <w:sz w:val="20"/>
                <w:szCs w:val="20"/>
                <w:shd w:val="clear" w:color="auto" w:fill="FFFFFF"/>
              </w:rPr>
              <w:t>271801</w:t>
            </w:r>
          </w:p>
        </w:tc>
      </w:tr>
      <w:tr w:rsidR="0064161E" w:rsidRPr="00FB515F" w:rsidTr="00145BF3">
        <w:trPr>
          <w:trHeight w:val="602"/>
        </w:trPr>
        <w:tc>
          <w:tcPr>
            <w:tcW w:w="2570" w:type="dxa"/>
          </w:tcPr>
          <w:p w:rsidR="0064161E" w:rsidRPr="00FB515F" w:rsidRDefault="0064161E" w:rsidP="00BF39C6">
            <w:pPr>
              <w:spacing w:line="24" w:lineRule="atLeast"/>
              <w:jc w:val="both"/>
              <w:rPr>
                <w:sz w:val="20"/>
                <w:szCs w:val="20"/>
              </w:rPr>
            </w:pPr>
            <w:r w:rsidRPr="00FB515F">
              <w:rPr>
                <w:sz w:val="20"/>
                <w:szCs w:val="20"/>
              </w:rPr>
              <w:t>Date of opening Tender</w:t>
            </w:r>
          </w:p>
        </w:tc>
        <w:tc>
          <w:tcPr>
            <w:tcW w:w="7078" w:type="dxa"/>
          </w:tcPr>
          <w:p w:rsidR="0064161E" w:rsidRPr="00FB515F" w:rsidRDefault="00902A15" w:rsidP="00BF39C6">
            <w:pPr>
              <w:jc w:val="both"/>
              <w:rPr>
                <w:sz w:val="20"/>
                <w:szCs w:val="20"/>
              </w:rPr>
            </w:pPr>
            <w:r>
              <w:rPr>
                <w:color w:val="000000"/>
                <w:sz w:val="20"/>
                <w:szCs w:val="20"/>
              </w:rPr>
              <w:t>02.06</w:t>
            </w:r>
            <w:r w:rsidR="0064161E">
              <w:rPr>
                <w:color w:val="000000"/>
                <w:sz w:val="20"/>
                <w:szCs w:val="20"/>
              </w:rPr>
              <w:t>.</w:t>
            </w:r>
            <w:r w:rsidR="007257F2">
              <w:rPr>
                <w:color w:val="000000"/>
                <w:sz w:val="20"/>
                <w:szCs w:val="20"/>
              </w:rPr>
              <w:t>2026</w:t>
            </w:r>
            <w:r w:rsidR="0064161E" w:rsidRPr="00FB515F">
              <w:rPr>
                <w:color w:val="000000"/>
                <w:sz w:val="20"/>
                <w:szCs w:val="20"/>
              </w:rPr>
              <w:t xml:space="preserve"> </w:t>
            </w:r>
            <w:r w:rsidR="0064161E" w:rsidRPr="00FB515F">
              <w:rPr>
                <w:sz w:val="20"/>
                <w:szCs w:val="20"/>
              </w:rPr>
              <w:t>upto 15.</w:t>
            </w:r>
            <w:r w:rsidR="0064161E">
              <w:rPr>
                <w:sz w:val="20"/>
                <w:szCs w:val="20"/>
              </w:rPr>
              <w:t>30</w:t>
            </w:r>
            <w:r w:rsidR="0064161E" w:rsidRPr="00FB515F">
              <w:rPr>
                <w:sz w:val="20"/>
                <w:szCs w:val="20"/>
              </w:rPr>
              <w:t xml:space="preserve">Hrs. at </w:t>
            </w:r>
            <w:r w:rsidR="0064161E" w:rsidRPr="0078166F">
              <w:rPr>
                <w:sz w:val="20"/>
                <w:szCs w:val="20"/>
              </w:rPr>
              <w:t xml:space="preserve">Indian Bank, </w:t>
            </w:r>
            <w:r w:rsidR="0064161E">
              <w:rPr>
                <w:sz w:val="20"/>
                <w:szCs w:val="20"/>
              </w:rPr>
              <w:t xml:space="preserve">Zonal </w:t>
            </w:r>
            <w:r w:rsidR="0064161E" w:rsidRPr="0078166F">
              <w:rPr>
                <w:sz w:val="20"/>
                <w:szCs w:val="20"/>
              </w:rPr>
              <w:t xml:space="preserve"> Office</w:t>
            </w:r>
            <w:r w:rsidR="0064161E">
              <w:rPr>
                <w:sz w:val="20"/>
                <w:szCs w:val="20"/>
              </w:rPr>
              <w:t xml:space="preserve"> </w:t>
            </w:r>
            <w:r w:rsidR="007257F2">
              <w:rPr>
                <w:sz w:val="20"/>
                <w:szCs w:val="20"/>
              </w:rPr>
              <w:t>Bahraich</w:t>
            </w:r>
            <w:r w:rsidR="0064161E">
              <w:rPr>
                <w:sz w:val="20"/>
                <w:szCs w:val="20"/>
              </w:rPr>
              <w:t xml:space="preserve"> </w:t>
            </w:r>
            <w:r w:rsidR="0064161E" w:rsidRPr="0078166F">
              <w:rPr>
                <w:sz w:val="20"/>
                <w:szCs w:val="20"/>
              </w:rPr>
              <w:t xml:space="preserve">, Estate Department, </w:t>
            </w:r>
            <w:r w:rsidR="0064161E">
              <w:rPr>
                <w:sz w:val="20"/>
                <w:szCs w:val="20"/>
              </w:rPr>
              <w:t xml:space="preserve"> </w:t>
            </w:r>
            <w:r w:rsidR="007257F2">
              <w:rPr>
                <w:b/>
                <w:bCs/>
                <w:sz w:val="20"/>
                <w:szCs w:val="20"/>
                <w:shd w:val="clear" w:color="auto" w:fill="FFFFFF"/>
              </w:rPr>
              <w:t>Bahraich</w:t>
            </w:r>
            <w:r w:rsidR="0064161E" w:rsidRPr="00FA0877">
              <w:rPr>
                <w:b/>
                <w:bCs/>
                <w:sz w:val="20"/>
                <w:szCs w:val="20"/>
                <w:shd w:val="clear" w:color="auto" w:fill="FFFFFF"/>
              </w:rPr>
              <w:t xml:space="preserve">​,U.P. </w:t>
            </w:r>
            <w:r w:rsidR="007257F2">
              <w:rPr>
                <w:b/>
                <w:bCs/>
                <w:sz w:val="20"/>
                <w:szCs w:val="20"/>
                <w:shd w:val="clear" w:color="auto" w:fill="FFFFFF"/>
              </w:rPr>
              <w:t>271801</w:t>
            </w:r>
          </w:p>
        </w:tc>
      </w:tr>
      <w:tr w:rsidR="0064161E" w:rsidRPr="00FB515F" w:rsidTr="00145BF3">
        <w:trPr>
          <w:trHeight w:val="339"/>
        </w:trPr>
        <w:tc>
          <w:tcPr>
            <w:tcW w:w="2570" w:type="dxa"/>
          </w:tcPr>
          <w:p w:rsidR="0064161E" w:rsidRPr="00FB515F" w:rsidRDefault="0064161E" w:rsidP="00BF39C6">
            <w:pPr>
              <w:spacing w:line="24" w:lineRule="atLeast"/>
              <w:jc w:val="both"/>
              <w:rPr>
                <w:sz w:val="20"/>
                <w:szCs w:val="20"/>
                <w:lang w:val="it-IT"/>
              </w:rPr>
            </w:pPr>
            <w:r w:rsidRPr="00FB515F">
              <w:rPr>
                <w:sz w:val="20"/>
                <w:szCs w:val="20"/>
                <w:lang w:val="it-IT"/>
              </w:rPr>
              <w:t xml:space="preserve">Cost Of Tender </w:t>
            </w:r>
          </w:p>
        </w:tc>
        <w:tc>
          <w:tcPr>
            <w:tcW w:w="7078" w:type="dxa"/>
          </w:tcPr>
          <w:p w:rsidR="0064161E" w:rsidRPr="00FB515F" w:rsidRDefault="0064161E" w:rsidP="00BF39C6">
            <w:pPr>
              <w:jc w:val="both"/>
              <w:rPr>
                <w:color w:val="000000"/>
                <w:sz w:val="20"/>
                <w:szCs w:val="20"/>
              </w:rPr>
            </w:pPr>
            <w:r w:rsidRPr="00FB515F">
              <w:rPr>
                <w:color w:val="000000"/>
                <w:sz w:val="20"/>
                <w:szCs w:val="20"/>
              </w:rPr>
              <w:t>Free Of Cost.</w:t>
            </w:r>
          </w:p>
        </w:tc>
      </w:tr>
    </w:tbl>
    <w:p w:rsidR="003174FF" w:rsidRPr="00FB515F" w:rsidRDefault="003174FF" w:rsidP="00BF39C6">
      <w:pPr>
        <w:pStyle w:val="Footer"/>
        <w:jc w:val="both"/>
        <w:rPr>
          <w:sz w:val="20"/>
          <w:szCs w:val="20"/>
        </w:rPr>
      </w:pPr>
    </w:p>
    <w:p w:rsidR="003174FF" w:rsidRDefault="003174FF" w:rsidP="00BF39C6">
      <w:pPr>
        <w:pStyle w:val="Footer"/>
        <w:jc w:val="both"/>
        <w:rPr>
          <w:sz w:val="20"/>
          <w:szCs w:val="20"/>
        </w:rPr>
      </w:pPr>
    </w:p>
    <w:p w:rsidR="003174FF" w:rsidRDefault="00D509E1" w:rsidP="00BF39C6">
      <w:pPr>
        <w:pStyle w:val="Footer"/>
        <w:jc w:val="both"/>
        <w:rPr>
          <w:color w:val="000000"/>
          <w:sz w:val="24"/>
          <w:szCs w:val="24"/>
        </w:rPr>
      </w:pPr>
      <w:r w:rsidRPr="001B1E04">
        <w:rPr>
          <w:color w:val="000000"/>
          <w:sz w:val="24"/>
          <w:szCs w:val="24"/>
        </w:rPr>
        <w:t xml:space="preserve">This part of the tender should be submitted in a separate envelope and financial bid shall be quoted only in this form and no other form will be accepted. </w:t>
      </w:r>
    </w:p>
    <w:p w:rsidR="003174FF" w:rsidRPr="00FB515F" w:rsidRDefault="003174FF" w:rsidP="00BF39C6">
      <w:pPr>
        <w:pStyle w:val="Footer"/>
        <w:jc w:val="both"/>
        <w:rPr>
          <w:sz w:val="20"/>
          <w:szCs w:val="20"/>
        </w:rPr>
      </w:pPr>
    </w:p>
    <w:p w:rsidR="003174FF" w:rsidRDefault="003174FF" w:rsidP="00BF39C6">
      <w:pPr>
        <w:adjustRightInd w:val="0"/>
        <w:jc w:val="both"/>
        <w:rPr>
          <w:color w:val="000000"/>
          <w:sz w:val="20"/>
          <w:szCs w:val="20"/>
        </w:rPr>
      </w:pPr>
    </w:p>
    <w:p w:rsidR="00BF39C6" w:rsidRDefault="00BF39C6" w:rsidP="00BF39C6">
      <w:pPr>
        <w:adjustRightInd w:val="0"/>
        <w:jc w:val="both"/>
        <w:rPr>
          <w:color w:val="000000"/>
          <w:sz w:val="20"/>
          <w:szCs w:val="20"/>
        </w:rPr>
      </w:pPr>
    </w:p>
    <w:p w:rsidR="00BF39C6" w:rsidRDefault="00BF39C6" w:rsidP="00BF39C6">
      <w:pPr>
        <w:adjustRightInd w:val="0"/>
        <w:jc w:val="both"/>
        <w:rPr>
          <w:color w:val="000000"/>
          <w:sz w:val="20"/>
          <w:szCs w:val="20"/>
        </w:rPr>
      </w:pPr>
    </w:p>
    <w:p w:rsidR="00BF39C6" w:rsidRDefault="00BF39C6" w:rsidP="00BF39C6">
      <w:pPr>
        <w:adjustRightInd w:val="0"/>
        <w:jc w:val="both"/>
        <w:rPr>
          <w:color w:val="000000"/>
          <w:sz w:val="20"/>
          <w:szCs w:val="20"/>
        </w:rPr>
      </w:pPr>
    </w:p>
    <w:p w:rsidR="00902A15" w:rsidRDefault="00902A15" w:rsidP="00BF39C6">
      <w:pPr>
        <w:adjustRightInd w:val="0"/>
        <w:jc w:val="both"/>
        <w:rPr>
          <w:color w:val="000000"/>
          <w:sz w:val="20"/>
          <w:szCs w:val="20"/>
        </w:rPr>
      </w:pPr>
    </w:p>
    <w:p w:rsidR="00902A15" w:rsidRDefault="00902A15" w:rsidP="00BF39C6">
      <w:pPr>
        <w:adjustRightInd w:val="0"/>
        <w:jc w:val="both"/>
        <w:rPr>
          <w:color w:val="000000"/>
          <w:sz w:val="20"/>
          <w:szCs w:val="20"/>
        </w:rPr>
      </w:pPr>
    </w:p>
    <w:p w:rsidR="00902A15" w:rsidRDefault="00902A15" w:rsidP="00BF39C6">
      <w:pPr>
        <w:adjustRightInd w:val="0"/>
        <w:jc w:val="both"/>
        <w:rPr>
          <w:color w:val="000000"/>
          <w:sz w:val="20"/>
          <w:szCs w:val="20"/>
        </w:rPr>
      </w:pPr>
    </w:p>
    <w:p w:rsidR="00902A15" w:rsidRDefault="00902A15" w:rsidP="00BF39C6">
      <w:pPr>
        <w:adjustRightInd w:val="0"/>
        <w:jc w:val="both"/>
        <w:rPr>
          <w:color w:val="000000"/>
          <w:sz w:val="20"/>
          <w:szCs w:val="20"/>
        </w:rPr>
      </w:pPr>
    </w:p>
    <w:p w:rsidR="00857E1F" w:rsidRPr="00FB515F" w:rsidRDefault="00857E1F" w:rsidP="00BF39C6">
      <w:pPr>
        <w:adjustRightInd w:val="0"/>
        <w:jc w:val="both"/>
        <w:rPr>
          <w:color w:val="000000"/>
          <w:sz w:val="20"/>
          <w:szCs w:val="20"/>
        </w:rPr>
      </w:pPr>
    </w:p>
    <w:p w:rsidR="00C86079" w:rsidRPr="00CB76EA" w:rsidRDefault="003174FF" w:rsidP="00BF39C6">
      <w:pPr>
        <w:adjustRightInd w:val="0"/>
        <w:jc w:val="both"/>
        <w:rPr>
          <w:b/>
          <w:bCs/>
          <w:sz w:val="20"/>
          <w:szCs w:val="20"/>
        </w:rPr>
      </w:pPr>
      <w:r w:rsidRPr="00FB515F">
        <w:rPr>
          <w:color w:val="000000"/>
          <w:sz w:val="20"/>
          <w:szCs w:val="20"/>
        </w:rPr>
        <w:lastRenderedPageBreak/>
        <w:t xml:space="preserve">This Tender document contains </w:t>
      </w:r>
      <w:r w:rsidR="001640D1">
        <w:rPr>
          <w:color w:val="FF0000"/>
          <w:sz w:val="20"/>
          <w:szCs w:val="20"/>
        </w:rPr>
        <w:t>0</w:t>
      </w:r>
      <w:r w:rsidR="00902A15">
        <w:rPr>
          <w:color w:val="FF0000"/>
          <w:sz w:val="20"/>
          <w:szCs w:val="20"/>
        </w:rPr>
        <w:t>4</w:t>
      </w:r>
      <w:bookmarkStart w:id="2" w:name="_GoBack"/>
      <w:bookmarkEnd w:id="2"/>
      <w:r w:rsidR="00107247">
        <w:rPr>
          <w:color w:val="FF0000"/>
          <w:sz w:val="20"/>
          <w:szCs w:val="20"/>
        </w:rPr>
        <w:t xml:space="preserve"> </w:t>
      </w:r>
      <w:r w:rsidRPr="00FB515F">
        <w:rPr>
          <w:color w:val="000000"/>
          <w:sz w:val="20"/>
          <w:szCs w:val="20"/>
        </w:rPr>
        <w:t>pages</w:t>
      </w:r>
    </w:p>
    <w:tbl>
      <w:tblPr>
        <w:tblW w:w="10207" w:type="dxa"/>
        <w:tblInd w:w="-34" w:type="dxa"/>
        <w:tblLook w:val="04A0" w:firstRow="1" w:lastRow="0" w:firstColumn="1" w:lastColumn="0" w:noHBand="0" w:noVBand="1"/>
      </w:tblPr>
      <w:tblGrid>
        <w:gridCol w:w="10207"/>
      </w:tblGrid>
      <w:tr w:rsidR="0087742D" w:rsidTr="0087742D">
        <w:trPr>
          <w:trHeight w:val="349"/>
        </w:trPr>
        <w:tc>
          <w:tcPr>
            <w:tcW w:w="10207" w:type="dxa"/>
            <w:tcBorders>
              <w:top w:val="single" w:sz="4" w:space="0" w:color="auto"/>
              <w:left w:val="single" w:sz="4" w:space="0" w:color="auto"/>
              <w:bottom w:val="single" w:sz="4" w:space="0" w:color="auto"/>
              <w:right w:val="single" w:sz="4" w:space="0" w:color="auto"/>
            </w:tcBorders>
            <w:hideMark/>
          </w:tcPr>
          <w:p w:rsidR="00857E1F" w:rsidRPr="007D60E7" w:rsidRDefault="00BF39C6" w:rsidP="00BF39C6">
            <w:pPr>
              <w:adjustRightInd w:val="0"/>
              <w:jc w:val="center"/>
              <w:rPr>
                <w:sz w:val="20"/>
                <w:szCs w:val="20"/>
              </w:rPr>
            </w:pPr>
            <w:r>
              <w:rPr>
                <w:b/>
                <w:bCs/>
              </w:rPr>
              <w:t>GENERAL TERMS &amp; CONDITIONS</w:t>
            </w:r>
          </w:p>
          <w:p w:rsidR="0087742D" w:rsidRDefault="0087742D" w:rsidP="00BF39C6">
            <w:pPr>
              <w:spacing w:line="276" w:lineRule="auto"/>
              <w:jc w:val="center"/>
              <w:rPr>
                <w:b/>
                <w:bCs/>
              </w:rPr>
            </w:pPr>
          </w:p>
        </w:tc>
      </w:tr>
    </w:tbl>
    <w:p w:rsidR="00C86079" w:rsidRDefault="00C86079" w:rsidP="00BF39C6">
      <w:pPr>
        <w:pStyle w:val="BodyText"/>
        <w:ind w:left="1134"/>
        <w:jc w:val="both"/>
        <w:rPr>
          <w:b/>
        </w:rPr>
      </w:pPr>
    </w:p>
    <w:p w:rsidR="00D5658E" w:rsidRDefault="00D5658E" w:rsidP="00BF39C6">
      <w:pPr>
        <w:pStyle w:val="BodyText"/>
        <w:jc w:val="both"/>
        <w:rPr>
          <w:b/>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9348"/>
      </w:tblGrid>
      <w:tr w:rsidR="00B13BCD" w:rsidRPr="00A97346" w:rsidTr="0087742D">
        <w:trPr>
          <w:trHeight w:val="300"/>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 </w:t>
            </w:r>
          </w:p>
        </w:tc>
        <w:tc>
          <w:tcPr>
            <w:tcW w:w="9348" w:type="dxa"/>
            <w:noWrap/>
            <w:hideMark/>
          </w:tcPr>
          <w:p w:rsidR="00B13BCD" w:rsidRPr="00A97346" w:rsidRDefault="00B13BCD" w:rsidP="00BF39C6">
            <w:pPr>
              <w:pStyle w:val="Char"/>
              <w:jc w:val="both"/>
              <w:rPr>
                <w:rFonts w:ascii="Arial" w:hAnsi="Arial" w:cs="Arial"/>
                <w:b/>
                <w:bCs/>
                <w:sz w:val="22"/>
                <w:szCs w:val="22"/>
                <w:u w:val="single"/>
              </w:rPr>
            </w:pPr>
          </w:p>
        </w:tc>
      </w:tr>
      <w:tr w:rsidR="00B13BCD" w:rsidRPr="00A97346" w:rsidTr="0087742D">
        <w:trPr>
          <w:trHeight w:val="1455"/>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1</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xml:space="preserve">All items of work under this Contract shall be executed strictly to fulfill the requirements laid down under “Basis of Design” in the specifications. Type of equipment, material specification, methods of installation and testing and type of control shall be in accordance with the specifications, approved shop drawings and the relevant Indian Standards, however capacity of each component and their quantities shall be such as to fulfill the above mentioned </w:t>
            </w:r>
            <w:r w:rsidR="00BF39C6" w:rsidRPr="00A97346">
              <w:rPr>
                <w:rFonts w:ascii="Arial" w:hAnsi="Arial" w:cs="Arial"/>
                <w:iCs/>
                <w:sz w:val="22"/>
                <w:szCs w:val="22"/>
              </w:rPr>
              <w:t>requirement. The</w:t>
            </w:r>
            <w:r w:rsidRPr="00A97346">
              <w:rPr>
                <w:rFonts w:ascii="Arial" w:hAnsi="Arial" w:cs="Arial"/>
                <w:iCs/>
                <w:sz w:val="22"/>
                <w:szCs w:val="22"/>
              </w:rPr>
              <w:t xml:space="preserve"> basis of the design to be submitted by contractor for approval by Bank</w:t>
            </w:r>
          </w:p>
        </w:tc>
      </w:tr>
      <w:tr w:rsidR="00B13BCD" w:rsidRPr="00A97346" w:rsidTr="0087742D">
        <w:trPr>
          <w:trHeight w:val="420"/>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2</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The rate for each item of work included in the Schedule of Quantities shall, unless expressly stated otherwise, include cost of:</w:t>
            </w:r>
          </w:p>
        </w:tc>
      </w:tr>
      <w:tr w:rsidR="00B13BCD" w:rsidRPr="00A97346" w:rsidTr="0087742D">
        <w:trPr>
          <w:trHeight w:val="900"/>
          <w:jc w:val="center"/>
        </w:trPr>
        <w:tc>
          <w:tcPr>
            <w:tcW w:w="901" w:type="dxa"/>
            <w:noWrap/>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a. All materials, fixing materials, accessories, appliances tools, plants, equipment, transport,labour and incidentals required in preparation for and in the full and entire execution, testing, balancing, commissioning and completion of work called for in the item and as per Specifications and Drawings.</w:t>
            </w:r>
          </w:p>
        </w:tc>
      </w:tr>
      <w:tr w:rsidR="00B13BCD" w:rsidRPr="00A97346" w:rsidTr="0087742D">
        <w:trPr>
          <w:trHeight w:val="390"/>
          <w:jc w:val="center"/>
        </w:trPr>
        <w:tc>
          <w:tcPr>
            <w:tcW w:w="901" w:type="dxa"/>
            <w:noWrap/>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b. Wastage on materials and labour.</w:t>
            </w:r>
          </w:p>
        </w:tc>
      </w:tr>
      <w:tr w:rsidR="00B13BCD" w:rsidRPr="00A97346" w:rsidTr="0087742D">
        <w:trPr>
          <w:trHeight w:val="990"/>
          <w:jc w:val="center"/>
        </w:trPr>
        <w:tc>
          <w:tcPr>
            <w:tcW w:w="901" w:type="dxa"/>
            <w:noWrap/>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c. Loading, transporting, unloading, handling/double handling, hoisting to all levels, setting, fitting and fixing in position, protecting, disposal of debris and all other labour necessary in and for the full and entire execution and for the job in accordance with the contract documents, good practice and recognize principles.</w:t>
            </w:r>
          </w:p>
        </w:tc>
      </w:tr>
      <w:tr w:rsidR="00B13BCD" w:rsidRPr="00A97346" w:rsidTr="0087742D">
        <w:trPr>
          <w:trHeight w:val="420"/>
          <w:jc w:val="center"/>
        </w:trPr>
        <w:tc>
          <w:tcPr>
            <w:tcW w:w="901" w:type="dxa"/>
            <w:noWrap/>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d. Liabilities, obligations and risks arising out of Conditions of Contract.</w:t>
            </w:r>
          </w:p>
        </w:tc>
      </w:tr>
      <w:tr w:rsidR="00B13BCD" w:rsidRPr="00A97346" w:rsidTr="0087742D">
        <w:trPr>
          <w:trHeight w:val="885"/>
          <w:jc w:val="center"/>
        </w:trPr>
        <w:tc>
          <w:tcPr>
            <w:tcW w:w="901" w:type="dxa"/>
            <w:noWrap/>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e. All requirements of Specifications, whether such requirements are mentioned in the item or not. The Specifications and Drawings where available, are to be read as complimentary to and part of the Schedule of Quantities and any work called for in one shall be taken as required for all.</w:t>
            </w:r>
          </w:p>
        </w:tc>
      </w:tr>
      <w:tr w:rsidR="00B13BCD" w:rsidRPr="00A97346" w:rsidTr="0087742D">
        <w:trPr>
          <w:trHeight w:val="630"/>
          <w:jc w:val="center"/>
        </w:trPr>
        <w:tc>
          <w:tcPr>
            <w:tcW w:w="901" w:type="dxa"/>
            <w:noWrap/>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B. Wastage on materials and labour.</w:t>
            </w:r>
          </w:p>
        </w:tc>
      </w:tr>
      <w:tr w:rsidR="00B13BCD" w:rsidRPr="00A97346" w:rsidTr="0087742D">
        <w:trPr>
          <w:trHeight w:val="660"/>
          <w:jc w:val="center"/>
        </w:trPr>
        <w:tc>
          <w:tcPr>
            <w:tcW w:w="901" w:type="dxa"/>
            <w:noWrap/>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g. In the event of conflict between Schedule of Quantities and other documents including the Specifications and approved basis of design, the most stringent shall apply. The interpretation of the Bank  shall be final and binding.</w:t>
            </w:r>
          </w:p>
        </w:tc>
      </w:tr>
      <w:tr w:rsidR="00B13BCD" w:rsidRPr="00A97346" w:rsidTr="0087742D">
        <w:trPr>
          <w:trHeight w:val="990"/>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3</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xml:space="preserve">All </w:t>
            </w:r>
            <w:r w:rsidR="00BF39C6" w:rsidRPr="00A97346">
              <w:rPr>
                <w:rFonts w:ascii="Arial" w:hAnsi="Arial" w:cs="Arial"/>
                <w:iCs/>
                <w:sz w:val="22"/>
                <w:szCs w:val="22"/>
              </w:rPr>
              <w:t>equipment’s</w:t>
            </w:r>
            <w:r w:rsidRPr="00A97346">
              <w:rPr>
                <w:rFonts w:ascii="Arial" w:hAnsi="Arial" w:cs="Arial"/>
                <w:iCs/>
                <w:sz w:val="22"/>
                <w:szCs w:val="22"/>
              </w:rPr>
              <w:t xml:space="preserve">, quantities and technical data indicated in this Schedule are for the Contractor’s guidance </w:t>
            </w:r>
            <w:r w:rsidR="00BF39C6" w:rsidRPr="00A97346">
              <w:rPr>
                <w:rFonts w:ascii="Arial" w:hAnsi="Arial" w:cs="Arial"/>
                <w:iCs/>
                <w:sz w:val="22"/>
                <w:szCs w:val="22"/>
              </w:rPr>
              <w:t>only, This</w:t>
            </w:r>
            <w:r w:rsidRPr="00A97346">
              <w:rPr>
                <w:rFonts w:ascii="Arial" w:hAnsi="Arial" w:cs="Arial"/>
                <w:iCs/>
                <w:sz w:val="22"/>
                <w:szCs w:val="22"/>
              </w:rPr>
              <w:t xml:space="preserve"> schedule must be read in conjunction with other documents and site conditions.  The Contractor shall be paid for the actual quantity of work executed by him in accordance with the approved Shop Drawings &amp; Basis of Design  at the contract rates.</w:t>
            </w:r>
          </w:p>
        </w:tc>
      </w:tr>
      <w:tr w:rsidR="00B13BCD" w:rsidRPr="00A97346" w:rsidTr="0087742D">
        <w:trPr>
          <w:trHeight w:val="600"/>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4</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This Schedule shall be fully priced and the extensions and totals duly checked. The rates for all items shall be filled in INR including NIL  items.</w:t>
            </w:r>
          </w:p>
        </w:tc>
      </w:tr>
      <w:tr w:rsidR="00B13BCD" w:rsidRPr="00A97346" w:rsidTr="0087742D">
        <w:trPr>
          <w:trHeight w:val="900"/>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5</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No alteration whatsoever is to be made to the text or quantities of this Schedule unless such alteration is authorised in writing by Services Consultant. Any such alterations, notes or additions shall, unless authorized in writing, be disregarded when tender documents are considered.</w:t>
            </w:r>
          </w:p>
        </w:tc>
      </w:tr>
      <w:tr w:rsidR="00B13BCD" w:rsidRPr="00A97346" w:rsidTr="0087742D">
        <w:trPr>
          <w:trHeight w:val="900"/>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6</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The Contractor shall procure and bring Materials/Equipment to the site only on the basis of drawings approved for construction and shop drawings /Basis of Design and not on the basis of Schedule of Quantities which are approximate only. This also applies to the Contractor’s requisition for Owner supplied materials.</w:t>
            </w:r>
          </w:p>
        </w:tc>
      </w:tr>
      <w:tr w:rsidR="00B13BCD" w:rsidRPr="00A97346" w:rsidTr="00BF39C6">
        <w:trPr>
          <w:trHeight w:val="1229"/>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lastRenderedPageBreak/>
              <w:t>7</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The unit rate for all local equipment or materials in Indian Rupees  shall include cost of equipment and materials including all taxes and duties and also including forwarding, freight, insurance and transport into Contractor’s store at site, storage, installation, testing, balancing, commissioning and other works required.</w:t>
            </w:r>
          </w:p>
        </w:tc>
      </w:tr>
      <w:tr w:rsidR="00B13BCD" w:rsidRPr="00A97346" w:rsidTr="0087742D">
        <w:trPr>
          <w:trHeight w:val="525"/>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8</w:t>
            </w:r>
          </w:p>
        </w:tc>
        <w:tc>
          <w:tcPr>
            <w:tcW w:w="9348" w:type="dxa"/>
            <w:hideMark/>
          </w:tcPr>
          <w:p w:rsidR="00B13BCD" w:rsidRPr="00A97346" w:rsidRDefault="00B13BCD" w:rsidP="00BF39C6">
            <w:pPr>
              <w:pStyle w:val="Char"/>
              <w:jc w:val="both"/>
              <w:rPr>
                <w:rFonts w:ascii="Arial" w:hAnsi="Arial" w:cs="Arial"/>
                <w:iCs/>
                <w:sz w:val="22"/>
                <w:szCs w:val="22"/>
              </w:rPr>
            </w:pPr>
            <w:r w:rsidRPr="00A97346">
              <w:rPr>
                <w:rFonts w:ascii="Arial" w:hAnsi="Arial" w:cs="Arial"/>
                <w:iCs/>
                <w:sz w:val="22"/>
                <w:szCs w:val="22"/>
              </w:rPr>
              <w:t xml:space="preserve">The </w:t>
            </w:r>
            <w:r w:rsidR="00BF39C6" w:rsidRPr="00A97346">
              <w:rPr>
                <w:rFonts w:ascii="Arial" w:hAnsi="Arial" w:cs="Arial"/>
                <w:iCs/>
                <w:sz w:val="22"/>
                <w:szCs w:val="22"/>
              </w:rPr>
              <w:t>Contractor</w:t>
            </w:r>
            <w:r w:rsidRPr="00A97346">
              <w:rPr>
                <w:rFonts w:ascii="Arial" w:hAnsi="Arial" w:cs="Arial"/>
                <w:iCs/>
                <w:sz w:val="22"/>
                <w:szCs w:val="22"/>
              </w:rPr>
              <w:t xml:space="preserve"> /vendor free to make site visit to ascertain the </w:t>
            </w:r>
            <w:r w:rsidR="00BF39C6" w:rsidRPr="00A97346">
              <w:rPr>
                <w:rFonts w:ascii="Arial" w:hAnsi="Arial" w:cs="Arial"/>
                <w:iCs/>
                <w:sz w:val="22"/>
                <w:szCs w:val="22"/>
              </w:rPr>
              <w:t>existing</w:t>
            </w:r>
            <w:r w:rsidRPr="00A97346">
              <w:rPr>
                <w:rFonts w:ascii="Arial" w:hAnsi="Arial" w:cs="Arial"/>
                <w:iCs/>
                <w:sz w:val="22"/>
                <w:szCs w:val="22"/>
              </w:rPr>
              <w:t xml:space="preserve"> </w:t>
            </w:r>
            <w:r w:rsidR="009B558A">
              <w:rPr>
                <w:rFonts w:ascii="Arial" w:hAnsi="Arial" w:cs="Arial"/>
                <w:iCs/>
                <w:sz w:val="22"/>
                <w:szCs w:val="22"/>
              </w:rPr>
              <w:t>road</w:t>
            </w:r>
            <w:r w:rsidRPr="00A97346">
              <w:rPr>
                <w:rFonts w:ascii="Arial" w:hAnsi="Arial" w:cs="Arial"/>
                <w:iCs/>
                <w:sz w:val="22"/>
                <w:szCs w:val="22"/>
              </w:rPr>
              <w:t xml:space="preserve"> </w:t>
            </w:r>
            <w:r w:rsidR="00BF39C6" w:rsidRPr="00A97346">
              <w:rPr>
                <w:rFonts w:ascii="Arial" w:hAnsi="Arial" w:cs="Arial"/>
                <w:iCs/>
                <w:sz w:val="22"/>
                <w:szCs w:val="22"/>
              </w:rPr>
              <w:t>working</w:t>
            </w:r>
            <w:r w:rsidRPr="00A97346">
              <w:rPr>
                <w:rFonts w:ascii="Arial" w:hAnsi="Arial" w:cs="Arial"/>
                <w:iCs/>
                <w:sz w:val="22"/>
                <w:szCs w:val="22"/>
              </w:rPr>
              <w:t xml:space="preserve"> conditions and other </w:t>
            </w:r>
            <w:r w:rsidR="00BF39C6" w:rsidRPr="00A97346">
              <w:rPr>
                <w:rFonts w:ascii="Arial" w:hAnsi="Arial" w:cs="Arial"/>
                <w:iCs/>
                <w:sz w:val="22"/>
                <w:szCs w:val="22"/>
              </w:rPr>
              <w:t>relevant</w:t>
            </w:r>
            <w:r w:rsidRPr="00A97346">
              <w:rPr>
                <w:rFonts w:ascii="Arial" w:hAnsi="Arial" w:cs="Arial"/>
                <w:iCs/>
                <w:sz w:val="22"/>
                <w:szCs w:val="22"/>
              </w:rPr>
              <w:t xml:space="preserve"> site </w:t>
            </w:r>
            <w:r w:rsidR="00BF39C6" w:rsidRPr="00A97346">
              <w:rPr>
                <w:rFonts w:ascii="Arial" w:hAnsi="Arial" w:cs="Arial"/>
                <w:iCs/>
                <w:sz w:val="22"/>
                <w:szCs w:val="22"/>
              </w:rPr>
              <w:t>feasibility</w:t>
            </w:r>
            <w:r w:rsidRPr="00A97346">
              <w:rPr>
                <w:rFonts w:ascii="Arial" w:hAnsi="Arial" w:cs="Arial"/>
                <w:iCs/>
                <w:sz w:val="22"/>
                <w:szCs w:val="22"/>
              </w:rPr>
              <w:t>/feature</w:t>
            </w:r>
          </w:p>
        </w:tc>
      </w:tr>
      <w:tr w:rsidR="00B13BCD" w:rsidRPr="00A97346" w:rsidTr="009B558A">
        <w:trPr>
          <w:trHeight w:val="855"/>
          <w:jc w:val="center"/>
        </w:trPr>
        <w:tc>
          <w:tcPr>
            <w:tcW w:w="901" w:type="dxa"/>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9</w:t>
            </w:r>
          </w:p>
        </w:tc>
        <w:tc>
          <w:tcPr>
            <w:tcW w:w="9348" w:type="dxa"/>
            <w:hideMark/>
          </w:tcPr>
          <w:p w:rsidR="00B13BCD" w:rsidRPr="00A97346" w:rsidRDefault="00B13BCD" w:rsidP="009B558A">
            <w:pPr>
              <w:pStyle w:val="Char"/>
              <w:jc w:val="both"/>
              <w:rPr>
                <w:rFonts w:ascii="Arial" w:hAnsi="Arial" w:cs="Arial"/>
                <w:iCs/>
                <w:sz w:val="22"/>
                <w:szCs w:val="22"/>
              </w:rPr>
            </w:pPr>
            <w:r w:rsidRPr="00A97346">
              <w:rPr>
                <w:rFonts w:ascii="Arial" w:hAnsi="Arial" w:cs="Arial"/>
                <w:iCs/>
                <w:sz w:val="22"/>
                <w:szCs w:val="22"/>
              </w:rPr>
              <w:t xml:space="preserve">One year (12 months) </w:t>
            </w:r>
            <w:r w:rsidR="009B558A">
              <w:rPr>
                <w:rFonts w:ascii="Arial" w:hAnsi="Arial" w:cs="Arial"/>
                <w:iCs/>
                <w:sz w:val="22"/>
                <w:szCs w:val="22"/>
              </w:rPr>
              <w:t>defects liability period</w:t>
            </w:r>
          </w:p>
        </w:tc>
      </w:tr>
      <w:tr w:rsidR="00B13BCD" w:rsidRPr="00A97346" w:rsidTr="0087742D">
        <w:trPr>
          <w:trHeight w:val="5374"/>
          <w:jc w:val="center"/>
        </w:trPr>
        <w:tc>
          <w:tcPr>
            <w:tcW w:w="10249" w:type="dxa"/>
            <w:gridSpan w:val="2"/>
            <w:noWrap/>
            <w:hideMark/>
          </w:tcPr>
          <w:p w:rsidR="00B13BCD" w:rsidRPr="00A97346" w:rsidRDefault="00B13BCD" w:rsidP="00BF39C6">
            <w:pPr>
              <w:pStyle w:val="Char"/>
              <w:jc w:val="both"/>
              <w:rPr>
                <w:rFonts w:ascii="Arial" w:hAnsi="Arial" w:cs="Arial"/>
                <w:sz w:val="22"/>
                <w:szCs w:val="22"/>
              </w:rPr>
            </w:pPr>
            <w:r w:rsidRPr="00A97346">
              <w:rPr>
                <w:rFonts w:ascii="Arial" w:hAnsi="Arial" w:cs="Arial"/>
                <w:sz w:val="22"/>
                <w:szCs w:val="22"/>
              </w:rPr>
              <w:t> </w:t>
            </w:r>
          </w:p>
          <w:p w:rsidR="00B13BCD" w:rsidRDefault="00B13BCD" w:rsidP="00BF39C6">
            <w:pPr>
              <w:widowControl/>
              <w:autoSpaceDE/>
              <w:autoSpaceDN/>
              <w:jc w:val="both"/>
            </w:pPr>
          </w:p>
          <w:p w:rsidR="00B13BCD" w:rsidRDefault="00B13BCD" w:rsidP="00BF39C6">
            <w:pPr>
              <w:widowControl/>
              <w:autoSpaceDE/>
              <w:autoSpaceDN/>
              <w:jc w:val="both"/>
            </w:pPr>
          </w:p>
          <w:p w:rsidR="00B13BCD" w:rsidRDefault="00B13BCD" w:rsidP="00BF39C6">
            <w:pPr>
              <w:widowControl/>
              <w:autoSpaceDE/>
              <w:autoSpaceDN/>
              <w:jc w:val="both"/>
            </w:pPr>
          </w:p>
          <w:p w:rsidR="00B13BCD" w:rsidRDefault="00B13BCD" w:rsidP="00BF39C6">
            <w:pPr>
              <w:widowControl/>
              <w:autoSpaceDE/>
              <w:autoSpaceDN/>
              <w:jc w:val="both"/>
            </w:pPr>
          </w:p>
          <w:p w:rsidR="00B13BCD" w:rsidRDefault="00B13BCD" w:rsidP="00BF39C6">
            <w:pPr>
              <w:widowControl/>
              <w:autoSpaceDE/>
              <w:autoSpaceDN/>
              <w:jc w:val="both"/>
            </w:pPr>
          </w:p>
          <w:p w:rsidR="00B13BCD" w:rsidRDefault="00B13BCD" w:rsidP="00BF39C6">
            <w:pPr>
              <w:widowControl/>
              <w:autoSpaceDE/>
              <w:autoSpaceDN/>
              <w:jc w:val="both"/>
            </w:pPr>
          </w:p>
          <w:p w:rsidR="00B13BCD" w:rsidRDefault="00B13BCD" w:rsidP="00BF39C6">
            <w:pPr>
              <w:widowControl/>
              <w:autoSpaceDE/>
              <w:autoSpaceDN/>
              <w:jc w:val="both"/>
            </w:pPr>
          </w:p>
          <w:p w:rsidR="00B13BCD" w:rsidRDefault="00B13BCD" w:rsidP="00BF39C6">
            <w:pPr>
              <w:widowControl/>
              <w:autoSpaceDE/>
              <w:autoSpaceDN/>
              <w:jc w:val="both"/>
            </w:pPr>
          </w:p>
          <w:p w:rsidR="00B13BCD" w:rsidRDefault="00B13BCD" w:rsidP="00BF39C6">
            <w:pPr>
              <w:widowControl/>
              <w:autoSpaceDE/>
              <w:autoSpaceDN/>
              <w:jc w:val="both"/>
              <w:rPr>
                <w:rFonts w:eastAsia="Times New Roman"/>
                <w:lang w:val="en-IN" w:eastAsia="en-IN" w:bidi="ar-SA"/>
              </w:rPr>
            </w:pPr>
            <w:r w:rsidRPr="00A97346">
              <w:t> </w:t>
            </w:r>
            <w:r w:rsidRPr="00FB515F">
              <w:rPr>
                <w:sz w:val="20"/>
                <w:szCs w:val="20"/>
              </w:rPr>
              <w:t>Signature &amp; Seal of the Tenderer</w:t>
            </w:r>
          </w:p>
          <w:p w:rsidR="00B13BCD" w:rsidRPr="00A97346" w:rsidRDefault="00B13BCD" w:rsidP="00BF39C6">
            <w:pPr>
              <w:pStyle w:val="Char"/>
              <w:jc w:val="both"/>
              <w:rPr>
                <w:rFonts w:ascii="Arial" w:hAnsi="Arial" w:cs="Arial"/>
                <w:sz w:val="22"/>
                <w:szCs w:val="22"/>
              </w:rPr>
            </w:pPr>
          </w:p>
        </w:tc>
      </w:tr>
    </w:tbl>
    <w:p w:rsidR="00B13BCD" w:rsidRDefault="00B13BCD" w:rsidP="00BF39C6">
      <w:pPr>
        <w:jc w:val="both"/>
      </w:pPr>
      <w:r>
        <w:br w:type="page"/>
      </w:r>
    </w:p>
    <w:tbl>
      <w:tblPr>
        <w:tblW w:w="10035" w:type="dxa"/>
        <w:tblInd w:w="103" w:type="dxa"/>
        <w:tblLook w:val="04A0" w:firstRow="1" w:lastRow="0" w:firstColumn="1" w:lastColumn="0" w:noHBand="0" w:noVBand="1"/>
      </w:tblPr>
      <w:tblGrid>
        <w:gridCol w:w="687"/>
        <w:gridCol w:w="5499"/>
        <w:gridCol w:w="833"/>
        <w:gridCol w:w="906"/>
        <w:gridCol w:w="836"/>
        <w:gridCol w:w="1274"/>
      </w:tblGrid>
      <w:tr w:rsidR="007257F2" w:rsidRPr="007257F2" w:rsidTr="007257F2">
        <w:trPr>
          <w:trHeight w:val="864"/>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lastRenderedPageBreak/>
              <w:t> </w:t>
            </w:r>
          </w:p>
        </w:tc>
        <w:tc>
          <w:tcPr>
            <w:tcW w:w="9348" w:type="dxa"/>
            <w:gridSpan w:val="5"/>
            <w:tcBorders>
              <w:top w:val="single" w:sz="4" w:space="0" w:color="auto"/>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jc w:val="center"/>
              <w:rPr>
                <w:rFonts w:ascii="Calibri" w:eastAsia="Times New Roman" w:hAnsi="Calibri" w:cs="Calibri"/>
                <w:b/>
                <w:bCs/>
                <w:color w:val="000000"/>
                <w:lang w:bidi="ar-SA"/>
              </w:rPr>
            </w:pPr>
            <w:r>
              <w:rPr>
                <w:rFonts w:ascii="Calibri" w:eastAsia="Times New Roman" w:hAnsi="Calibri" w:cs="Calibri"/>
                <w:b/>
                <w:bCs/>
                <w:color w:val="000000"/>
                <w:lang w:bidi="ar-SA"/>
              </w:rPr>
              <w:t>Name of work-Tender</w:t>
            </w:r>
            <w:r w:rsidRPr="007257F2">
              <w:rPr>
                <w:rFonts w:ascii="Calibri" w:eastAsia="Times New Roman" w:hAnsi="Calibri" w:cs="Calibri"/>
                <w:b/>
                <w:bCs/>
                <w:color w:val="000000"/>
                <w:lang w:bidi="ar-SA"/>
              </w:rPr>
              <w:t xml:space="preserve"> for proposed boundary wall of Rseti Indian bank sitauted at Village-Jokhaniya,Block-Sirsiya Distt Shravasti</w:t>
            </w:r>
          </w:p>
        </w:tc>
      </w:tr>
      <w:tr w:rsidR="007257F2" w:rsidRPr="007257F2" w:rsidTr="007257F2">
        <w:trPr>
          <w:trHeight w:val="288"/>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c>
          <w:tcPr>
            <w:tcW w:w="5499"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b/>
                <w:bCs/>
                <w:color w:val="000000"/>
                <w:lang w:bidi="ar-SA"/>
              </w:rPr>
            </w:pPr>
            <w:r w:rsidRPr="007257F2">
              <w:rPr>
                <w:rFonts w:ascii="Calibri" w:eastAsia="Times New Roman" w:hAnsi="Calibri" w:cs="Calibri"/>
                <w:b/>
                <w:bCs/>
                <w:color w:val="000000"/>
                <w:lang w:bidi="ar-SA"/>
              </w:rPr>
              <w:t>Construction consists of length 1032'-0" or 314 .63 running meter 5'-0" height above plinth</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c>
          <w:tcPr>
            <w:tcW w:w="83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c>
          <w:tcPr>
            <w:tcW w:w="1274"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r>
      <w:tr w:rsidR="007257F2" w:rsidRPr="007257F2" w:rsidTr="007257F2">
        <w:trPr>
          <w:trHeight w:val="288"/>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S.No.</w:t>
            </w:r>
          </w:p>
        </w:tc>
        <w:tc>
          <w:tcPr>
            <w:tcW w:w="5499"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Description</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Units</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Qty</w:t>
            </w:r>
          </w:p>
        </w:tc>
        <w:tc>
          <w:tcPr>
            <w:tcW w:w="83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Rates</w:t>
            </w:r>
          </w:p>
        </w:tc>
        <w:tc>
          <w:tcPr>
            <w:tcW w:w="1274"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Amount</w:t>
            </w:r>
          </w:p>
        </w:tc>
      </w:tr>
      <w:tr w:rsidR="007257F2" w:rsidRPr="007257F2" w:rsidTr="007257F2">
        <w:trPr>
          <w:trHeight w:val="1740"/>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1</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Earth work in excavation by mechanical means (Hydraulic excavator)/ manual means over areas (exceeding 30 cm in depth, 1.5 m in width as well as 10 sqm on plan) including getting out and disposal of excavated earth lead upto 50 m and lift upto 1.5 m, as directed by Engineer-incharge.  All kinds of soil</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cu.m.</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189.3</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r>
      <w:tr w:rsidR="007257F2" w:rsidRPr="007257F2" w:rsidTr="007257F2">
        <w:trPr>
          <w:trHeight w:val="684"/>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2</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Concrete with 4 cm. gauge bk. Ballast cement, fine sand in foundation. Under plinth in prop.[1:6:12"]</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cu.m.</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23.7</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r>
      <w:tr w:rsidR="007257F2" w:rsidRPr="007257F2" w:rsidTr="007257F2">
        <w:trPr>
          <w:trHeight w:val="1728"/>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3</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Reinforced cement concrete work  including cost of centering, shuttering, finishing and reinforcement :  1:1.5:3 (1 cement : 1.5 coarse sand(zone-III) derived from natural sources : 3 graded stone aggregate 20 mm nominal size derived from natural sources) in foundation ,pillar &amp; plinth beam.</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cu.m.</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48.7</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r>
      <w:tr w:rsidR="007257F2" w:rsidRPr="007257F2" w:rsidTr="007257F2">
        <w:trPr>
          <w:trHeight w:val="576"/>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4</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Class 150 bk. Work in 1:2:4: with cement &amp; coarse sand in superstructure for 9"th wall.</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cu.m.</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78.8</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r>
      <w:tr w:rsidR="007257F2" w:rsidRPr="007257F2" w:rsidTr="007257F2">
        <w:trPr>
          <w:trHeight w:val="576"/>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5</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R.C.C. work in 1:2:4: with cement, c/sand &amp; stone grit in plinth beam .</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cu.m.</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16.08</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r>
      <w:tr w:rsidR="007257F2" w:rsidRPr="007257F2" w:rsidTr="007257F2">
        <w:trPr>
          <w:trHeight w:val="588"/>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6</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M.S. or iron work such as R.C.C. work including cutting &amp; binding.</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qtl.</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51.1</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r>
      <w:tr w:rsidR="007257F2" w:rsidRPr="007257F2" w:rsidTr="007257F2">
        <w:trPr>
          <w:trHeight w:val="1896"/>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7</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1/2" th. Plaster in 1:5 in cement &amp; fine sand in boundary wall inside &amp; Finishing walls with Premium Acrylic Smooth exterior paint with Silicone additives of required shade: New work (Two or more coats applied @ 1.43 ltr/10 sqm over and including priming coat of exterior primer applied @ 2.20 kg/10 sqm)</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Sqm</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jc w:val="center"/>
              <w:rPr>
                <w:rFonts w:ascii="Calibri" w:eastAsia="Times New Roman" w:hAnsi="Calibri" w:cs="Calibri"/>
                <w:color w:val="000000"/>
                <w:lang w:bidi="ar-SA"/>
              </w:rPr>
            </w:pPr>
            <w:r w:rsidRPr="007257F2">
              <w:rPr>
                <w:rFonts w:ascii="Calibri" w:eastAsia="Times New Roman" w:hAnsi="Calibri" w:cs="Calibri"/>
                <w:color w:val="000000"/>
                <w:lang w:bidi="ar-SA"/>
              </w:rPr>
              <w:t>695.4</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center"/>
              <w:rPr>
                <w:rFonts w:ascii="Calibri" w:eastAsia="Times New Roman" w:hAnsi="Calibri" w:cs="Calibri"/>
                <w:color w:val="000000"/>
                <w:lang w:bidi="ar-SA"/>
              </w:rPr>
            </w:pPr>
          </w:p>
        </w:tc>
      </w:tr>
      <w:tr w:rsidR="007257F2" w:rsidRPr="007257F2" w:rsidTr="007257F2">
        <w:trPr>
          <w:trHeight w:val="288"/>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c>
          <w:tcPr>
            <w:tcW w:w="5499" w:type="dxa"/>
            <w:tcBorders>
              <w:top w:val="nil"/>
              <w:left w:val="nil"/>
              <w:bottom w:val="single" w:sz="4" w:space="0" w:color="auto"/>
              <w:right w:val="single" w:sz="4" w:space="0" w:color="auto"/>
            </w:tcBorders>
            <w:shd w:val="clear" w:color="auto" w:fill="auto"/>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Total cost Rs</w:t>
            </w:r>
          </w:p>
        </w:tc>
        <w:tc>
          <w:tcPr>
            <w:tcW w:w="833"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c>
          <w:tcPr>
            <w:tcW w:w="906" w:type="dxa"/>
            <w:tcBorders>
              <w:top w:val="nil"/>
              <w:left w:val="nil"/>
              <w:bottom w:val="single" w:sz="4" w:space="0" w:color="auto"/>
              <w:right w:val="single" w:sz="4" w:space="0" w:color="auto"/>
            </w:tcBorders>
            <w:shd w:val="clear" w:color="auto" w:fill="auto"/>
            <w:noWrap/>
            <w:vAlign w:val="bottom"/>
            <w:hideMark/>
          </w:tcPr>
          <w:p w:rsidR="007257F2" w:rsidRPr="007257F2" w:rsidRDefault="007257F2" w:rsidP="007257F2">
            <w:pPr>
              <w:widowControl/>
              <w:autoSpaceDE/>
              <w:autoSpaceDN/>
              <w:rPr>
                <w:rFonts w:ascii="Calibri" w:eastAsia="Times New Roman" w:hAnsi="Calibri" w:cs="Calibri"/>
                <w:color w:val="000000"/>
                <w:lang w:bidi="ar-SA"/>
              </w:rPr>
            </w:pPr>
            <w:r w:rsidRPr="007257F2">
              <w:rPr>
                <w:rFonts w:ascii="Calibri" w:eastAsia="Times New Roman" w:hAnsi="Calibri" w:cs="Calibri"/>
                <w:color w:val="000000"/>
                <w:lang w:bidi="ar-SA"/>
              </w:rPr>
              <w:t> </w:t>
            </w:r>
          </w:p>
        </w:tc>
        <w:tc>
          <w:tcPr>
            <w:tcW w:w="836"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rPr>
                <w:rFonts w:ascii="Calibri" w:eastAsia="Times New Roman" w:hAnsi="Calibri" w:cs="Calibri"/>
                <w:color w:val="000000"/>
                <w:lang w:bidi="ar-SA"/>
              </w:rPr>
            </w:pPr>
          </w:p>
        </w:tc>
        <w:tc>
          <w:tcPr>
            <w:tcW w:w="1274" w:type="dxa"/>
            <w:tcBorders>
              <w:top w:val="nil"/>
              <w:left w:val="nil"/>
              <w:bottom w:val="single" w:sz="4" w:space="0" w:color="auto"/>
              <w:right w:val="single" w:sz="4" w:space="0" w:color="auto"/>
            </w:tcBorders>
            <w:shd w:val="clear" w:color="auto" w:fill="auto"/>
            <w:noWrap/>
            <w:vAlign w:val="bottom"/>
          </w:tcPr>
          <w:p w:rsidR="007257F2" w:rsidRPr="007257F2" w:rsidRDefault="007257F2" w:rsidP="007257F2">
            <w:pPr>
              <w:widowControl/>
              <w:autoSpaceDE/>
              <w:autoSpaceDN/>
              <w:jc w:val="right"/>
              <w:rPr>
                <w:rFonts w:ascii="Calibri" w:eastAsia="Times New Roman" w:hAnsi="Calibri" w:cs="Calibri"/>
                <w:color w:val="000000"/>
                <w:lang w:bidi="ar-SA"/>
              </w:rPr>
            </w:pPr>
          </w:p>
        </w:tc>
      </w:tr>
    </w:tbl>
    <w:p w:rsidR="007257F2" w:rsidRDefault="007257F2" w:rsidP="00BF39C6">
      <w:pPr>
        <w:jc w:val="both"/>
      </w:pPr>
      <w:r w:rsidRPr="0064161E">
        <w:rPr>
          <w:b/>
          <w:bCs/>
        </w:rPr>
        <w:t>NOTE :-  GST TAX WILL BE EXTRA.</w:t>
      </w:r>
    </w:p>
    <w:tbl>
      <w:tblPr>
        <w:tblpPr w:leftFromText="180" w:rightFromText="180" w:horzAnchor="margin" w:tblpY="-1630"/>
        <w:tblW w:w="10138" w:type="dxa"/>
        <w:tblLook w:val="04A0" w:firstRow="1" w:lastRow="0" w:firstColumn="1" w:lastColumn="0" w:noHBand="0" w:noVBand="1"/>
      </w:tblPr>
      <w:tblGrid>
        <w:gridCol w:w="10138"/>
      </w:tblGrid>
      <w:tr w:rsidR="00960890" w:rsidRPr="00960890" w:rsidTr="00BF39C6">
        <w:trPr>
          <w:trHeight w:val="1702"/>
        </w:trPr>
        <w:tc>
          <w:tcPr>
            <w:tcW w:w="10138" w:type="dxa"/>
            <w:tcBorders>
              <w:bottom w:val="single" w:sz="4" w:space="0" w:color="auto"/>
            </w:tcBorders>
            <w:shd w:val="clear" w:color="auto" w:fill="auto"/>
            <w:noWrap/>
            <w:hideMark/>
          </w:tcPr>
          <w:p w:rsidR="00960890" w:rsidRPr="00960890" w:rsidRDefault="00960890" w:rsidP="00BF39C6">
            <w:pPr>
              <w:widowControl/>
              <w:autoSpaceDE/>
              <w:autoSpaceDN/>
              <w:jc w:val="both"/>
              <w:rPr>
                <w:rFonts w:ascii="Verdana" w:eastAsia="Times New Roman" w:hAnsi="Verdana" w:cs="Calibri"/>
                <w:b/>
                <w:bCs/>
                <w:sz w:val="20"/>
                <w:szCs w:val="20"/>
                <w:lang w:bidi="ar-SA"/>
              </w:rPr>
            </w:pPr>
          </w:p>
        </w:tc>
      </w:tr>
    </w:tbl>
    <w:p w:rsidR="0064161E" w:rsidRDefault="0064161E" w:rsidP="00BF39C6">
      <w:pPr>
        <w:tabs>
          <w:tab w:val="left" w:pos="1020"/>
        </w:tabs>
        <w:ind w:right="348"/>
        <w:jc w:val="both"/>
      </w:pPr>
    </w:p>
    <w:p w:rsidR="0064161E" w:rsidRDefault="0064161E" w:rsidP="00BF39C6">
      <w:pPr>
        <w:tabs>
          <w:tab w:val="left" w:pos="1020"/>
        </w:tabs>
        <w:ind w:right="348"/>
        <w:jc w:val="both"/>
      </w:pPr>
    </w:p>
    <w:p w:rsidR="0064161E" w:rsidRDefault="0064161E" w:rsidP="00BF39C6">
      <w:pPr>
        <w:tabs>
          <w:tab w:val="left" w:pos="1020"/>
        </w:tabs>
        <w:ind w:right="348"/>
        <w:jc w:val="both"/>
      </w:pPr>
    </w:p>
    <w:p w:rsidR="0064161E" w:rsidRDefault="0064161E" w:rsidP="00BF39C6">
      <w:pPr>
        <w:tabs>
          <w:tab w:val="left" w:pos="1020"/>
        </w:tabs>
        <w:ind w:right="348"/>
        <w:jc w:val="both"/>
      </w:pPr>
    </w:p>
    <w:p w:rsidR="003C744C" w:rsidRPr="00BF39C6" w:rsidRDefault="003C744C" w:rsidP="00BF39C6">
      <w:pPr>
        <w:tabs>
          <w:tab w:val="left" w:pos="1020"/>
        </w:tabs>
        <w:ind w:right="348"/>
        <w:jc w:val="both"/>
        <w:rPr>
          <w:rFonts w:eastAsia="Verdana"/>
        </w:rPr>
      </w:pPr>
      <w:r w:rsidRPr="00BF39C6">
        <w:t>Total Amount in words: Rupees…………………………………………………………….…only</w:t>
      </w:r>
    </w:p>
    <w:p w:rsidR="003C744C" w:rsidRPr="00BF39C6" w:rsidRDefault="003C744C" w:rsidP="00BF39C6">
      <w:pPr>
        <w:jc w:val="both"/>
      </w:pPr>
    </w:p>
    <w:p w:rsidR="003C744C" w:rsidRPr="00BF39C6" w:rsidRDefault="003C744C" w:rsidP="00BF39C6">
      <w:pPr>
        <w:jc w:val="both"/>
        <w:rPr>
          <w:b/>
          <w:bCs/>
        </w:rPr>
      </w:pPr>
      <w:r w:rsidRPr="00BF39C6">
        <w:rPr>
          <w:b/>
          <w:bCs/>
        </w:rPr>
        <w:t>GST (taxes) will be extra</w:t>
      </w:r>
    </w:p>
    <w:p w:rsidR="003C744C" w:rsidRPr="00BF39C6" w:rsidRDefault="003C744C" w:rsidP="00BF39C6">
      <w:pPr>
        <w:jc w:val="both"/>
      </w:pPr>
      <w:r w:rsidRPr="00BF39C6">
        <w:t xml:space="preserve">Place:  </w:t>
      </w:r>
      <w:r w:rsidRPr="00BF39C6">
        <w:tab/>
      </w:r>
      <w:r w:rsidRPr="00BF39C6">
        <w:tab/>
      </w:r>
      <w:r w:rsidRPr="00BF39C6">
        <w:tab/>
      </w:r>
      <w:r w:rsidRPr="00BF39C6">
        <w:tab/>
      </w:r>
      <w:r w:rsidRPr="00BF39C6">
        <w:tab/>
      </w:r>
      <w:r w:rsidRPr="00BF39C6">
        <w:tab/>
      </w:r>
    </w:p>
    <w:p w:rsidR="003C744C" w:rsidRPr="00BF39C6" w:rsidRDefault="003C744C" w:rsidP="00BF39C6">
      <w:pPr>
        <w:jc w:val="both"/>
      </w:pPr>
      <w:r w:rsidRPr="00BF39C6">
        <w:t xml:space="preserve">                                                                                                          Signature &amp; Seal of the Tenderer</w:t>
      </w:r>
    </w:p>
    <w:p w:rsidR="003C744C" w:rsidRPr="00BF39C6" w:rsidRDefault="003C744C" w:rsidP="00BF39C6">
      <w:pPr>
        <w:jc w:val="both"/>
      </w:pPr>
    </w:p>
    <w:p w:rsidR="003D19B7" w:rsidRPr="00BF39C6" w:rsidRDefault="003C744C" w:rsidP="00BF39C6">
      <w:pPr>
        <w:jc w:val="both"/>
      </w:pPr>
      <w:r w:rsidRPr="00BF39C6">
        <w:t>Date:</w:t>
      </w:r>
    </w:p>
    <w:sectPr w:rsidR="003D19B7" w:rsidRPr="00BF39C6" w:rsidSect="00CB76EA">
      <w:headerReference w:type="even" r:id="rId9"/>
      <w:headerReference w:type="default" r:id="rId10"/>
      <w:footerReference w:type="even" r:id="rId11"/>
      <w:footerReference w:type="default" r:id="rId12"/>
      <w:headerReference w:type="first" r:id="rId13"/>
      <w:footerReference w:type="first" r:id="rId14"/>
      <w:pgSz w:w="11910" w:h="16840"/>
      <w:pgMar w:top="1300" w:right="1137" w:bottom="280" w:left="851" w:header="545" w:footer="5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6F9" w:rsidRDefault="000016F9">
      <w:r>
        <w:separator/>
      </w:r>
    </w:p>
  </w:endnote>
  <w:endnote w:type="continuationSeparator" w:id="0">
    <w:p w:rsidR="000016F9" w:rsidRDefault="0000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F7" w:rsidRDefault="007914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77935"/>
      <w:docPartObj>
        <w:docPartGallery w:val="Page Numbers (Bottom of Page)"/>
        <w:docPartUnique/>
      </w:docPartObj>
    </w:sdtPr>
    <w:sdtEndPr/>
    <w:sdtContent>
      <w:sdt>
        <w:sdtPr>
          <w:id w:val="565050523"/>
          <w:docPartObj>
            <w:docPartGallery w:val="Page Numbers (Top of Page)"/>
            <w:docPartUnique/>
          </w:docPartObj>
        </w:sdtPr>
        <w:sdtEndPr/>
        <w:sdtContent>
          <w:p w:rsidR="00CB76EA" w:rsidRPr="00CB76EA" w:rsidRDefault="006830DF" w:rsidP="00CB76EA">
            <w:pPr>
              <w:pStyle w:val="Footer"/>
              <w:jc w:val="right"/>
            </w:pPr>
            <w:r>
              <w:t xml:space="preserve">Page </w:t>
            </w:r>
            <w:r w:rsidR="0049011D">
              <w:rPr>
                <w:b/>
                <w:sz w:val="24"/>
                <w:szCs w:val="24"/>
              </w:rPr>
              <w:fldChar w:fldCharType="begin"/>
            </w:r>
            <w:r>
              <w:rPr>
                <w:b/>
              </w:rPr>
              <w:instrText xml:space="preserve"> PAGE </w:instrText>
            </w:r>
            <w:r w:rsidR="0049011D">
              <w:rPr>
                <w:b/>
                <w:sz w:val="24"/>
                <w:szCs w:val="24"/>
              </w:rPr>
              <w:fldChar w:fldCharType="separate"/>
            </w:r>
            <w:r w:rsidR="00902A15">
              <w:rPr>
                <w:b/>
                <w:noProof/>
              </w:rPr>
              <w:t>4</w:t>
            </w:r>
            <w:r w:rsidR="0049011D">
              <w:rPr>
                <w:b/>
                <w:sz w:val="24"/>
                <w:szCs w:val="24"/>
              </w:rPr>
              <w:fldChar w:fldCharType="end"/>
            </w:r>
            <w:r>
              <w:t xml:space="preserve"> of </w:t>
            </w:r>
            <w:r w:rsidR="0049011D">
              <w:rPr>
                <w:b/>
                <w:sz w:val="24"/>
                <w:szCs w:val="24"/>
              </w:rPr>
              <w:fldChar w:fldCharType="begin"/>
            </w:r>
            <w:r>
              <w:rPr>
                <w:b/>
              </w:rPr>
              <w:instrText xml:space="preserve"> NUMPAGES  </w:instrText>
            </w:r>
            <w:r w:rsidR="0049011D">
              <w:rPr>
                <w:b/>
                <w:sz w:val="24"/>
                <w:szCs w:val="24"/>
              </w:rPr>
              <w:fldChar w:fldCharType="separate"/>
            </w:r>
            <w:r w:rsidR="00902A15">
              <w:rPr>
                <w:b/>
                <w:noProof/>
              </w:rPr>
              <w:t>4</w:t>
            </w:r>
            <w:r w:rsidR="0049011D">
              <w:rPr>
                <w:b/>
                <w:sz w:val="24"/>
                <w:szCs w:val="24"/>
              </w:rPr>
              <w:fldChar w:fldCharType="end"/>
            </w:r>
          </w:p>
          <w:p w:rsidR="006830DF" w:rsidRDefault="000016F9" w:rsidP="00CB76EA">
            <w:pPr>
              <w:pStyle w:val="Footer"/>
            </w:pPr>
          </w:p>
        </w:sdtContent>
      </w:sdt>
    </w:sdtContent>
  </w:sdt>
  <w:p w:rsidR="006830DF" w:rsidRDefault="006830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F7" w:rsidRDefault="007914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6F9" w:rsidRDefault="000016F9">
      <w:r>
        <w:separator/>
      </w:r>
    </w:p>
  </w:footnote>
  <w:footnote w:type="continuationSeparator" w:id="0">
    <w:p w:rsidR="000016F9" w:rsidRDefault="000016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F7" w:rsidRDefault="007914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DF" w:rsidRDefault="006830DF" w:rsidP="00CD6135">
    <w:pPr>
      <w:pStyle w:val="Header"/>
      <w:jc w:val="center"/>
    </w:pPr>
    <w:r>
      <w:rPr>
        <w:noProof/>
        <w:lang w:val="en-IN" w:eastAsia="en-IN" w:bidi="hi-IN"/>
      </w:rPr>
      <w:drawing>
        <wp:inline distT="0" distB="0" distL="0" distR="0">
          <wp:extent cx="2114550" cy="685800"/>
          <wp:effectExtent l="19050" t="0" r="0" b="0"/>
          <wp:docPr id="1" name="Picture 1" descr="IB 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 AB LOGO"/>
                  <pic:cNvPicPr>
                    <a:picLocks noChangeAspect="1" noChangeArrowheads="1"/>
                  </pic:cNvPicPr>
                </pic:nvPicPr>
                <pic:blipFill>
                  <a:blip r:embed="rId1"/>
                  <a:srcRect/>
                  <a:stretch>
                    <a:fillRect/>
                  </a:stretch>
                </pic:blipFill>
                <pic:spPr bwMode="auto">
                  <a:xfrm>
                    <a:off x="0" y="0"/>
                    <a:ext cx="2114550" cy="685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F7" w:rsidRDefault="007914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20B"/>
    <w:multiLevelType w:val="hybridMultilevel"/>
    <w:tmpl w:val="BE60EF34"/>
    <w:lvl w:ilvl="0" w:tplc="82986BE6">
      <w:start w:val="6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210418"/>
    <w:multiLevelType w:val="hybridMultilevel"/>
    <w:tmpl w:val="89C272A0"/>
    <w:lvl w:ilvl="0" w:tplc="DB409F9A">
      <w:start w:val="1"/>
      <w:numFmt w:val="lowerRoman"/>
      <w:lvlText w:val="%1)"/>
      <w:lvlJc w:val="left"/>
      <w:pPr>
        <w:ind w:left="1915" w:hanging="356"/>
      </w:pPr>
      <w:rPr>
        <w:rFonts w:ascii="Arial" w:eastAsia="Arial" w:hAnsi="Arial" w:cs="Arial" w:hint="default"/>
        <w:spacing w:val="-2"/>
        <w:w w:val="100"/>
        <w:sz w:val="22"/>
        <w:szCs w:val="22"/>
        <w:lang w:val="en-US" w:eastAsia="en-US" w:bidi="en-US"/>
      </w:rPr>
    </w:lvl>
    <w:lvl w:ilvl="1" w:tplc="5AFCF7C2">
      <w:numFmt w:val="bullet"/>
      <w:lvlText w:val="•"/>
      <w:lvlJc w:val="left"/>
      <w:pPr>
        <w:ind w:left="2850" w:hanging="356"/>
      </w:pPr>
      <w:rPr>
        <w:rFonts w:hint="default"/>
        <w:lang w:val="en-US" w:eastAsia="en-US" w:bidi="en-US"/>
      </w:rPr>
    </w:lvl>
    <w:lvl w:ilvl="2" w:tplc="6CC8C8B8">
      <w:numFmt w:val="bullet"/>
      <w:lvlText w:val="•"/>
      <w:lvlJc w:val="left"/>
      <w:pPr>
        <w:ind w:left="3781" w:hanging="356"/>
      </w:pPr>
      <w:rPr>
        <w:rFonts w:hint="default"/>
        <w:lang w:val="en-US" w:eastAsia="en-US" w:bidi="en-US"/>
      </w:rPr>
    </w:lvl>
    <w:lvl w:ilvl="3" w:tplc="BD620944">
      <w:numFmt w:val="bullet"/>
      <w:lvlText w:val="•"/>
      <w:lvlJc w:val="left"/>
      <w:pPr>
        <w:ind w:left="4711" w:hanging="356"/>
      </w:pPr>
      <w:rPr>
        <w:rFonts w:hint="default"/>
        <w:lang w:val="en-US" w:eastAsia="en-US" w:bidi="en-US"/>
      </w:rPr>
    </w:lvl>
    <w:lvl w:ilvl="4" w:tplc="D9424948">
      <w:numFmt w:val="bullet"/>
      <w:lvlText w:val="•"/>
      <w:lvlJc w:val="left"/>
      <w:pPr>
        <w:ind w:left="5642" w:hanging="356"/>
      </w:pPr>
      <w:rPr>
        <w:rFonts w:hint="default"/>
        <w:lang w:val="en-US" w:eastAsia="en-US" w:bidi="en-US"/>
      </w:rPr>
    </w:lvl>
    <w:lvl w:ilvl="5" w:tplc="A17A65C6">
      <w:numFmt w:val="bullet"/>
      <w:lvlText w:val="•"/>
      <w:lvlJc w:val="left"/>
      <w:pPr>
        <w:ind w:left="6573" w:hanging="356"/>
      </w:pPr>
      <w:rPr>
        <w:rFonts w:hint="default"/>
        <w:lang w:val="en-US" w:eastAsia="en-US" w:bidi="en-US"/>
      </w:rPr>
    </w:lvl>
    <w:lvl w:ilvl="6" w:tplc="ED30F27E">
      <w:numFmt w:val="bullet"/>
      <w:lvlText w:val="•"/>
      <w:lvlJc w:val="left"/>
      <w:pPr>
        <w:ind w:left="7503" w:hanging="356"/>
      </w:pPr>
      <w:rPr>
        <w:rFonts w:hint="default"/>
        <w:lang w:val="en-US" w:eastAsia="en-US" w:bidi="en-US"/>
      </w:rPr>
    </w:lvl>
    <w:lvl w:ilvl="7" w:tplc="53740EB0">
      <w:numFmt w:val="bullet"/>
      <w:lvlText w:val="•"/>
      <w:lvlJc w:val="left"/>
      <w:pPr>
        <w:ind w:left="8434" w:hanging="356"/>
      </w:pPr>
      <w:rPr>
        <w:rFonts w:hint="default"/>
        <w:lang w:val="en-US" w:eastAsia="en-US" w:bidi="en-US"/>
      </w:rPr>
    </w:lvl>
    <w:lvl w:ilvl="8" w:tplc="D114794C">
      <w:numFmt w:val="bullet"/>
      <w:lvlText w:val="•"/>
      <w:lvlJc w:val="left"/>
      <w:pPr>
        <w:ind w:left="9365" w:hanging="356"/>
      </w:pPr>
      <w:rPr>
        <w:rFonts w:hint="default"/>
        <w:lang w:val="en-US" w:eastAsia="en-US" w:bidi="en-US"/>
      </w:rPr>
    </w:lvl>
  </w:abstractNum>
  <w:abstractNum w:abstractNumId="2" w15:restartNumberingAfterBreak="0">
    <w:nsid w:val="0A226D55"/>
    <w:multiLevelType w:val="hybridMultilevel"/>
    <w:tmpl w:val="333C04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046FEA"/>
    <w:multiLevelType w:val="hybridMultilevel"/>
    <w:tmpl w:val="FCA856F6"/>
    <w:lvl w:ilvl="0" w:tplc="207218F4">
      <w:start w:val="1"/>
      <w:numFmt w:val="decimal"/>
      <w:lvlText w:val="%1."/>
      <w:lvlJc w:val="left"/>
      <w:pPr>
        <w:ind w:left="1557" w:hanging="447"/>
      </w:pPr>
      <w:rPr>
        <w:rFonts w:ascii="Arial" w:eastAsia="Arial" w:hAnsi="Arial" w:cs="Arial" w:hint="default"/>
        <w:spacing w:val="-1"/>
        <w:w w:val="100"/>
        <w:sz w:val="22"/>
        <w:szCs w:val="22"/>
        <w:lang w:val="en-US" w:eastAsia="en-US" w:bidi="en-US"/>
      </w:rPr>
    </w:lvl>
    <w:lvl w:ilvl="1" w:tplc="C7A6DAEA">
      <w:numFmt w:val="bullet"/>
      <w:lvlText w:val="•"/>
      <w:lvlJc w:val="left"/>
      <w:pPr>
        <w:ind w:left="2526" w:hanging="447"/>
      </w:pPr>
      <w:rPr>
        <w:rFonts w:hint="default"/>
        <w:lang w:val="en-US" w:eastAsia="en-US" w:bidi="en-US"/>
      </w:rPr>
    </w:lvl>
    <w:lvl w:ilvl="2" w:tplc="ED6A9882">
      <w:numFmt w:val="bullet"/>
      <w:lvlText w:val="•"/>
      <w:lvlJc w:val="left"/>
      <w:pPr>
        <w:ind w:left="3493" w:hanging="447"/>
      </w:pPr>
      <w:rPr>
        <w:rFonts w:hint="default"/>
        <w:lang w:val="en-US" w:eastAsia="en-US" w:bidi="en-US"/>
      </w:rPr>
    </w:lvl>
    <w:lvl w:ilvl="3" w:tplc="253A8C70">
      <w:numFmt w:val="bullet"/>
      <w:lvlText w:val="•"/>
      <w:lvlJc w:val="left"/>
      <w:pPr>
        <w:ind w:left="4459" w:hanging="447"/>
      </w:pPr>
      <w:rPr>
        <w:rFonts w:hint="default"/>
        <w:lang w:val="en-US" w:eastAsia="en-US" w:bidi="en-US"/>
      </w:rPr>
    </w:lvl>
    <w:lvl w:ilvl="4" w:tplc="3938ABE0">
      <w:numFmt w:val="bullet"/>
      <w:lvlText w:val="•"/>
      <w:lvlJc w:val="left"/>
      <w:pPr>
        <w:ind w:left="5426" w:hanging="447"/>
      </w:pPr>
      <w:rPr>
        <w:rFonts w:hint="default"/>
        <w:lang w:val="en-US" w:eastAsia="en-US" w:bidi="en-US"/>
      </w:rPr>
    </w:lvl>
    <w:lvl w:ilvl="5" w:tplc="40DCA408">
      <w:numFmt w:val="bullet"/>
      <w:lvlText w:val="•"/>
      <w:lvlJc w:val="left"/>
      <w:pPr>
        <w:ind w:left="6393" w:hanging="447"/>
      </w:pPr>
      <w:rPr>
        <w:rFonts w:hint="default"/>
        <w:lang w:val="en-US" w:eastAsia="en-US" w:bidi="en-US"/>
      </w:rPr>
    </w:lvl>
    <w:lvl w:ilvl="6" w:tplc="3ED6F076">
      <w:numFmt w:val="bullet"/>
      <w:lvlText w:val="•"/>
      <w:lvlJc w:val="left"/>
      <w:pPr>
        <w:ind w:left="7359" w:hanging="447"/>
      </w:pPr>
      <w:rPr>
        <w:rFonts w:hint="default"/>
        <w:lang w:val="en-US" w:eastAsia="en-US" w:bidi="en-US"/>
      </w:rPr>
    </w:lvl>
    <w:lvl w:ilvl="7" w:tplc="A2B22944">
      <w:numFmt w:val="bullet"/>
      <w:lvlText w:val="•"/>
      <w:lvlJc w:val="left"/>
      <w:pPr>
        <w:ind w:left="8326" w:hanging="447"/>
      </w:pPr>
      <w:rPr>
        <w:rFonts w:hint="default"/>
        <w:lang w:val="en-US" w:eastAsia="en-US" w:bidi="en-US"/>
      </w:rPr>
    </w:lvl>
    <w:lvl w:ilvl="8" w:tplc="902EB3D2">
      <w:numFmt w:val="bullet"/>
      <w:lvlText w:val="•"/>
      <w:lvlJc w:val="left"/>
      <w:pPr>
        <w:ind w:left="9293" w:hanging="447"/>
      </w:pPr>
      <w:rPr>
        <w:rFonts w:hint="default"/>
        <w:lang w:val="en-US" w:eastAsia="en-US" w:bidi="en-US"/>
      </w:rPr>
    </w:lvl>
  </w:abstractNum>
  <w:abstractNum w:abstractNumId="4" w15:restartNumberingAfterBreak="0">
    <w:nsid w:val="19200F7A"/>
    <w:multiLevelType w:val="hybridMultilevel"/>
    <w:tmpl w:val="71FE9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77B47"/>
    <w:multiLevelType w:val="hybridMultilevel"/>
    <w:tmpl w:val="5EF8A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4663F1"/>
    <w:multiLevelType w:val="hybridMultilevel"/>
    <w:tmpl w:val="48C4FDC0"/>
    <w:lvl w:ilvl="0" w:tplc="FFFFFFFF">
      <w:start w:val="1"/>
      <w:numFmt w:val="lowerLetter"/>
      <w:lvlText w:val="%1)"/>
      <w:lvlJc w:val="left"/>
      <w:pPr>
        <w:ind w:left="1080" w:hanging="360"/>
      </w:pPr>
      <w:rPr>
        <w:rFonts w:hint="default"/>
      </w:rPr>
    </w:lvl>
    <w:lvl w:ilvl="1" w:tplc="FFFFFFFF">
      <w:start w:val="3"/>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D504BB7"/>
    <w:multiLevelType w:val="hybridMultilevel"/>
    <w:tmpl w:val="CB6227E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7A52F7"/>
    <w:multiLevelType w:val="hybridMultilevel"/>
    <w:tmpl w:val="2006D2F6"/>
    <w:lvl w:ilvl="0" w:tplc="C1B4AFBA">
      <w:start w:val="1"/>
      <w:numFmt w:val="decimal"/>
      <w:lvlText w:val="%1."/>
      <w:lvlJc w:val="left"/>
      <w:pPr>
        <w:ind w:left="1560" w:hanging="449"/>
        <w:jc w:val="right"/>
      </w:pPr>
      <w:rPr>
        <w:rFonts w:hint="default"/>
        <w:spacing w:val="-1"/>
        <w:w w:val="100"/>
        <w:lang w:val="en-US" w:eastAsia="en-US" w:bidi="en-US"/>
      </w:rPr>
    </w:lvl>
    <w:lvl w:ilvl="1" w:tplc="F446CFF0">
      <w:start w:val="1"/>
      <w:numFmt w:val="lowerLetter"/>
      <w:lvlText w:val="%2."/>
      <w:lvlJc w:val="left"/>
      <w:pPr>
        <w:ind w:left="1831" w:hanging="269"/>
      </w:pPr>
      <w:rPr>
        <w:rFonts w:ascii="Arial" w:eastAsia="Arial" w:hAnsi="Arial" w:cs="Arial" w:hint="default"/>
        <w:spacing w:val="-1"/>
        <w:w w:val="100"/>
        <w:sz w:val="22"/>
        <w:szCs w:val="22"/>
        <w:lang w:val="en-US" w:eastAsia="en-US" w:bidi="en-US"/>
      </w:rPr>
    </w:lvl>
    <w:lvl w:ilvl="2" w:tplc="C5BEA32A">
      <w:numFmt w:val="bullet"/>
      <w:lvlText w:val="•"/>
      <w:lvlJc w:val="left"/>
      <w:pPr>
        <w:ind w:left="2882" w:hanging="269"/>
      </w:pPr>
      <w:rPr>
        <w:rFonts w:hint="default"/>
        <w:lang w:val="en-US" w:eastAsia="en-US" w:bidi="en-US"/>
      </w:rPr>
    </w:lvl>
    <w:lvl w:ilvl="3" w:tplc="0D7EEE08">
      <w:numFmt w:val="bullet"/>
      <w:lvlText w:val="•"/>
      <w:lvlJc w:val="left"/>
      <w:pPr>
        <w:ind w:left="3925" w:hanging="269"/>
      </w:pPr>
      <w:rPr>
        <w:rFonts w:hint="default"/>
        <w:lang w:val="en-US" w:eastAsia="en-US" w:bidi="en-US"/>
      </w:rPr>
    </w:lvl>
    <w:lvl w:ilvl="4" w:tplc="2E7C970A">
      <w:numFmt w:val="bullet"/>
      <w:lvlText w:val="•"/>
      <w:lvlJc w:val="left"/>
      <w:pPr>
        <w:ind w:left="4968" w:hanging="269"/>
      </w:pPr>
      <w:rPr>
        <w:rFonts w:hint="default"/>
        <w:lang w:val="en-US" w:eastAsia="en-US" w:bidi="en-US"/>
      </w:rPr>
    </w:lvl>
    <w:lvl w:ilvl="5" w:tplc="09345292">
      <w:numFmt w:val="bullet"/>
      <w:lvlText w:val="•"/>
      <w:lvlJc w:val="left"/>
      <w:pPr>
        <w:ind w:left="6011" w:hanging="269"/>
      </w:pPr>
      <w:rPr>
        <w:rFonts w:hint="default"/>
        <w:lang w:val="en-US" w:eastAsia="en-US" w:bidi="en-US"/>
      </w:rPr>
    </w:lvl>
    <w:lvl w:ilvl="6" w:tplc="0FB63912">
      <w:numFmt w:val="bullet"/>
      <w:lvlText w:val="•"/>
      <w:lvlJc w:val="left"/>
      <w:pPr>
        <w:ind w:left="7054" w:hanging="269"/>
      </w:pPr>
      <w:rPr>
        <w:rFonts w:hint="default"/>
        <w:lang w:val="en-US" w:eastAsia="en-US" w:bidi="en-US"/>
      </w:rPr>
    </w:lvl>
    <w:lvl w:ilvl="7" w:tplc="F744A90A">
      <w:numFmt w:val="bullet"/>
      <w:lvlText w:val="•"/>
      <w:lvlJc w:val="left"/>
      <w:pPr>
        <w:ind w:left="8097" w:hanging="269"/>
      </w:pPr>
      <w:rPr>
        <w:rFonts w:hint="default"/>
        <w:lang w:val="en-US" w:eastAsia="en-US" w:bidi="en-US"/>
      </w:rPr>
    </w:lvl>
    <w:lvl w:ilvl="8" w:tplc="93BE48EA">
      <w:numFmt w:val="bullet"/>
      <w:lvlText w:val="•"/>
      <w:lvlJc w:val="left"/>
      <w:pPr>
        <w:ind w:left="9140" w:hanging="269"/>
      </w:pPr>
      <w:rPr>
        <w:rFonts w:hint="default"/>
        <w:lang w:val="en-US" w:eastAsia="en-US" w:bidi="en-US"/>
      </w:rPr>
    </w:lvl>
  </w:abstractNum>
  <w:abstractNum w:abstractNumId="9" w15:restartNumberingAfterBreak="0">
    <w:nsid w:val="256D7D67"/>
    <w:multiLevelType w:val="hybridMultilevel"/>
    <w:tmpl w:val="63AACC1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B8A0303"/>
    <w:multiLevelType w:val="hybridMultilevel"/>
    <w:tmpl w:val="6B96E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56D0934"/>
    <w:multiLevelType w:val="hybridMultilevel"/>
    <w:tmpl w:val="76A65F72"/>
    <w:lvl w:ilvl="0" w:tplc="25404BC4">
      <w:start w:val="1"/>
      <w:numFmt w:val="decimal"/>
      <w:lvlText w:val="%1)"/>
      <w:lvlJc w:val="left"/>
      <w:pPr>
        <w:ind w:left="1561" w:hanging="452"/>
      </w:pPr>
      <w:rPr>
        <w:rFonts w:ascii="Arial" w:eastAsia="Arial" w:hAnsi="Arial" w:cs="Arial" w:hint="default"/>
        <w:spacing w:val="-1"/>
        <w:w w:val="99"/>
        <w:sz w:val="20"/>
        <w:szCs w:val="20"/>
        <w:lang w:val="en-US" w:eastAsia="en-US" w:bidi="en-US"/>
      </w:rPr>
    </w:lvl>
    <w:lvl w:ilvl="1" w:tplc="1286127A">
      <w:numFmt w:val="bullet"/>
      <w:lvlText w:val="•"/>
      <w:lvlJc w:val="left"/>
      <w:pPr>
        <w:ind w:left="2526" w:hanging="452"/>
      </w:pPr>
      <w:rPr>
        <w:rFonts w:hint="default"/>
        <w:lang w:val="en-US" w:eastAsia="en-US" w:bidi="en-US"/>
      </w:rPr>
    </w:lvl>
    <w:lvl w:ilvl="2" w:tplc="3A2654C0">
      <w:numFmt w:val="bullet"/>
      <w:lvlText w:val="•"/>
      <w:lvlJc w:val="left"/>
      <w:pPr>
        <w:ind w:left="3493" w:hanging="452"/>
      </w:pPr>
      <w:rPr>
        <w:rFonts w:hint="default"/>
        <w:lang w:val="en-US" w:eastAsia="en-US" w:bidi="en-US"/>
      </w:rPr>
    </w:lvl>
    <w:lvl w:ilvl="3" w:tplc="AE92B1E2">
      <w:numFmt w:val="bullet"/>
      <w:lvlText w:val="•"/>
      <w:lvlJc w:val="left"/>
      <w:pPr>
        <w:ind w:left="4459" w:hanging="452"/>
      </w:pPr>
      <w:rPr>
        <w:rFonts w:hint="default"/>
        <w:lang w:val="en-US" w:eastAsia="en-US" w:bidi="en-US"/>
      </w:rPr>
    </w:lvl>
    <w:lvl w:ilvl="4" w:tplc="DF5C7102">
      <w:numFmt w:val="bullet"/>
      <w:lvlText w:val="•"/>
      <w:lvlJc w:val="left"/>
      <w:pPr>
        <w:ind w:left="5426" w:hanging="452"/>
      </w:pPr>
      <w:rPr>
        <w:rFonts w:hint="default"/>
        <w:lang w:val="en-US" w:eastAsia="en-US" w:bidi="en-US"/>
      </w:rPr>
    </w:lvl>
    <w:lvl w:ilvl="5" w:tplc="F01AC236">
      <w:numFmt w:val="bullet"/>
      <w:lvlText w:val="•"/>
      <w:lvlJc w:val="left"/>
      <w:pPr>
        <w:ind w:left="6393" w:hanging="452"/>
      </w:pPr>
      <w:rPr>
        <w:rFonts w:hint="default"/>
        <w:lang w:val="en-US" w:eastAsia="en-US" w:bidi="en-US"/>
      </w:rPr>
    </w:lvl>
    <w:lvl w:ilvl="6" w:tplc="3B08FE7A">
      <w:numFmt w:val="bullet"/>
      <w:lvlText w:val="•"/>
      <w:lvlJc w:val="left"/>
      <w:pPr>
        <w:ind w:left="7359" w:hanging="452"/>
      </w:pPr>
      <w:rPr>
        <w:rFonts w:hint="default"/>
        <w:lang w:val="en-US" w:eastAsia="en-US" w:bidi="en-US"/>
      </w:rPr>
    </w:lvl>
    <w:lvl w:ilvl="7" w:tplc="3BD6CA10">
      <w:numFmt w:val="bullet"/>
      <w:lvlText w:val="•"/>
      <w:lvlJc w:val="left"/>
      <w:pPr>
        <w:ind w:left="8326" w:hanging="452"/>
      </w:pPr>
      <w:rPr>
        <w:rFonts w:hint="default"/>
        <w:lang w:val="en-US" w:eastAsia="en-US" w:bidi="en-US"/>
      </w:rPr>
    </w:lvl>
    <w:lvl w:ilvl="8" w:tplc="7812B3C2">
      <w:numFmt w:val="bullet"/>
      <w:lvlText w:val="•"/>
      <w:lvlJc w:val="left"/>
      <w:pPr>
        <w:ind w:left="9293" w:hanging="452"/>
      </w:pPr>
      <w:rPr>
        <w:rFonts w:hint="default"/>
        <w:lang w:val="en-US" w:eastAsia="en-US" w:bidi="en-US"/>
      </w:rPr>
    </w:lvl>
  </w:abstractNum>
  <w:abstractNum w:abstractNumId="12" w15:restartNumberingAfterBreak="0">
    <w:nsid w:val="5A6511A6"/>
    <w:multiLevelType w:val="hybridMultilevel"/>
    <w:tmpl w:val="76226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B5351CD"/>
    <w:multiLevelType w:val="hybridMultilevel"/>
    <w:tmpl w:val="92B81FE0"/>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5EE37484"/>
    <w:multiLevelType w:val="hybridMultilevel"/>
    <w:tmpl w:val="5A4EC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BC38CE"/>
    <w:multiLevelType w:val="hybridMultilevel"/>
    <w:tmpl w:val="62966C72"/>
    <w:lvl w:ilvl="0" w:tplc="EBC0E324">
      <w:start w:val="60"/>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7AB13C5B"/>
    <w:multiLevelType w:val="hybridMultilevel"/>
    <w:tmpl w:val="47D6522C"/>
    <w:lvl w:ilvl="0" w:tplc="C14AD4D6">
      <w:start w:val="1"/>
      <w:numFmt w:val="lowerRoman"/>
      <w:lvlText w:val="%1)"/>
      <w:lvlJc w:val="left"/>
      <w:pPr>
        <w:ind w:left="1915" w:hanging="356"/>
      </w:pPr>
      <w:rPr>
        <w:rFonts w:ascii="Arial" w:eastAsia="Arial" w:hAnsi="Arial" w:cs="Arial" w:hint="default"/>
        <w:spacing w:val="-9"/>
        <w:w w:val="100"/>
        <w:sz w:val="22"/>
        <w:szCs w:val="22"/>
        <w:lang w:val="en-US" w:eastAsia="en-US" w:bidi="en-US"/>
      </w:rPr>
    </w:lvl>
    <w:lvl w:ilvl="1" w:tplc="9D262836">
      <w:numFmt w:val="bullet"/>
      <w:lvlText w:val="•"/>
      <w:lvlJc w:val="left"/>
      <w:pPr>
        <w:ind w:left="2850" w:hanging="356"/>
      </w:pPr>
      <w:rPr>
        <w:rFonts w:hint="default"/>
        <w:lang w:val="en-US" w:eastAsia="en-US" w:bidi="en-US"/>
      </w:rPr>
    </w:lvl>
    <w:lvl w:ilvl="2" w:tplc="F71EEFC6">
      <w:numFmt w:val="bullet"/>
      <w:lvlText w:val="•"/>
      <w:lvlJc w:val="left"/>
      <w:pPr>
        <w:ind w:left="3781" w:hanging="356"/>
      </w:pPr>
      <w:rPr>
        <w:rFonts w:hint="default"/>
        <w:lang w:val="en-US" w:eastAsia="en-US" w:bidi="en-US"/>
      </w:rPr>
    </w:lvl>
    <w:lvl w:ilvl="3" w:tplc="1D407BF0">
      <w:numFmt w:val="bullet"/>
      <w:lvlText w:val="•"/>
      <w:lvlJc w:val="left"/>
      <w:pPr>
        <w:ind w:left="4711" w:hanging="356"/>
      </w:pPr>
      <w:rPr>
        <w:rFonts w:hint="default"/>
        <w:lang w:val="en-US" w:eastAsia="en-US" w:bidi="en-US"/>
      </w:rPr>
    </w:lvl>
    <w:lvl w:ilvl="4" w:tplc="283E39C8">
      <w:numFmt w:val="bullet"/>
      <w:lvlText w:val="•"/>
      <w:lvlJc w:val="left"/>
      <w:pPr>
        <w:ind w:left="5642" w:hanging="356"/>
      </w:pPr>
      <w:rPr>
        <w:rFonts w:hint="default"/>
        <w:lang w:val="en-US" w:eastAsia="en-US" w:bidi="en-US"/>
      </w:rPr>
    </w:lvl>
    <w:lvl w:ilvl="5" w:tplc="0A8AD516">
      <w:numFmt w:val="bullet"/>
      <w:lvlText w:val="•"/>
      <w:lvlJc w:val="left"/>
      <w:pPr>
        <w:ind w:left="6573" w:hanging="356"/>
      </w:pPr>
      <w:rPr>
        <w:rFonts w:hint="default"/>
        <w:lang w:val="en-US" w:eastAsia="en-US" w:bidi="en-US"/>
      </w:rPr>
    </w:lvl>
    <w:lvl w:ilvl="6" w:tplc="261680D0">
      <w:numFmt w:val="bullet"/>
      <w:lvlText w:val="•"/>
      <w:lvlJc w:val="left"/>
      <w:pPr>
        <w:ind w:left="7503" w:hanging="356"/>
      </w:pPr>
      <w:rPr>
        <w:rFonts w:hint="default"/>
        <w:lang w:val="en-US" w:eastAsia="en-US" w:bidi="en-US"/>
      </w:rPr>
    </w:lvl>
    <w:lvl w:ilvl="7" w:tplc="19D20036">
      <w:numFmt w:val="bullet"/>
      <w:lvlText w:val="•"/>
      <w:lvlJc w:val="left"/>
      <w:pPr>
        <w:ind w:left="8434" w:hanging="356"/>
      </w:pPr>
      <w:rPr>
        <w:rFonts w:hint="default"/>
        <w:lang w:val="en-US" w:eastAsia="en-US" w:bidi="en-US"/>
      </w:rPr>
    </w:lvl>
    <w:lvl w:ilvl="8" w:tplc="5A667A58">
      <w:numFmt w:val="bullet"/>
      <w:lvlText w:val="•"/>
      <w:lvlJc w:val="left"/>
      <w:pPr>
        <w:ind w:left="9365" w:hanging="356"/>
      </w:pPr>
      <w:rPr>
        <w:rFonts w:hint="default"/>
        <w:lang w:val="en-US" w:eastAsia="en-US" w:bidi="en-US"/>
      </w:rPr>
    </w:lvl>
  </w:abstractNum>
  <w:abstractNum w:abstractNumId="17" w15:restartNumberingAfterBreak="0">
    <w:nsid w:val="7AC235B6"/>
    <w:multiLevelType w:val="hybridMultilevel"/>
    <w:tmpl w:val="987A24D6"/>
    <w:lvl w:ilvl="0" w:tplc="8E6E9D10">
      <w:start w:val="1"/>
      <w:numFmt w:val="upperRoman"/>
      <w:lvlText w:val="%1."/>
      <w:lvlJc w:val="left"/>
      <w:pPr>
        <w:ind w:left="1915" w:hanging="356"/>
      </w:pPr>
      <w:rPr>
        <w:rFonts w:ascii="Arial" w:eastAsia="Arial" w:hAnsi="Arial" w:cs="Arial" w:hint="default"/>
        <w:spacing w:val="0"/>
        <w:w w:val="100"/>
        <w:sz w:val="22"/>
        <w:szCs w:val="22"/>
        <w:lang w:val="en-US" w:eastAsia="en-US" w:bidi="en-US"/>
      </w:rPr>
    </w:lvl>
    <w:lvl w:ilvl="1" w:tplc="FBACAE8A">
      <w:numFmt w:val="bullet"/>
      <w:lvlText w:val="•"/>
      <w:lvlJc w:val="left"/>
      <w:pPr>
        <w:ind w:left="2850" w:hanging="356"/>
      </w:pPr>
      <w:rPr>
        <w:rFonts w:hint="default"/>
        <w:lang w:val="en-US" w:eastAsia="en-US" w:bidi="en-US"/>
      </w:rPr>
    </w:lvl>
    <w:lvl w:ilvl="2" w:tplc="8C74EA08">
      <w:numFmt w:val="bullet"/>
      <w:lvlText w:val="•"/>
      <w:lvlJc w:val="left"/>
      <w:pPr>
        <w:ind w:left="3781" w:hanging="356"/>
      </w:pPr>
      <w:rPr>
        <w:rFonts w:hint="default"/>
        <w:lang w:val="en-US" w:eastAsia="en-US" w:bidi="en-US"/>
      </w:rPr>
    </w:lvl>
    <w:lvl w:ilvl="3" w:tplc="D74AD8CC">
      <w:numFmt w:val="bullet"/>
      <w:lvlText w:val="•"/>
      <w:lvlJc w:val="left"/>
      <w:pPr>
        <w:ind w:left="4711" w:hanging="356"/>
      </w:pPr>
      <w:rPr>
        <w:rFonts w:hint="default"/>
        <w:lang w:val="en-US" w:eastAsia="en-US" w:bidi="en-US"/>
      </w:rPr>
    </w:lvl>
    <w:lvl w:ilvl="4" w:tplc="8F3ED0AA">
      <w:numFmt w:val="bullet"/>
      <w:lvlText w:val="•"/>
      <w:lvlJc w:val="left"/>
      <w:pPr>
        <w:ind w:left="5642" w:hanging="356"/>
      </w:pPr>
      <w:rPr>
        <w:rFonts w:hint="default"/>
        <w:lang w:val="en-US" w:eastAsia="en-US" w:bidi="en-US"/>
      </w:rPr>
    </w:lvl>
    <w:lvl w:ilvl="5" w:tplc="BAB6923E">
      <w:numFmt w:val="bullet"/>
      <w:lvlText w:val="•"/>
      <w:lvlJc w:val="left"/>
      <w:pPr>
        <w:ind w:left="6573" w:hanging="356"/>
      </w:pPr>
      <w:rPr>
        <w:rFonts w:hint="default"/>
        <w:lang w:val="en-US" w:eastAsia="en-US" w:bidi="en-US"/>
      </w:rPr>
    </w:lvl>
    <w:lvl w:ilvl="6" w:tplc="C382E752">
      <w:numFmt w:val="bullet"/>
      <w:lvlText w:val="•"/>
      <w:lvlJc w:val="left"/>
      <w:pPr>
        <w:ind w:left="7503" w:hanging="356"/>
      </w:pPr>
      <w:rPr>
        <w:rFonts w:hint="default"/>
        <w:lang w:val="en-US" w:eastAsia="en-US" w:bidi="en-US"/>
      </w:rPr>
    </w:lvl>
    <w:lvl w:ilvl="7" w:tplc="E7DA4CC6">
      <w:numFmt w:val="bullet"/>
      <w:lvlText w:val="•"/>
      <w:lvlJc w:val="left"/>
      <w:pPr>
        <w:ind w:left="8434" w:hanging="356"/>
      </w:pPr>
      <w:rPr>
        <w:rFonts w:hint="default"/>
        <w:lang w:val="en-US" w:eastAsia="en-US" w:bidi="en-US"/>
      </w:rPr>
    </w:lvl>
    <w:lvl w:ilvl="8" w:tplc="953EF5DA">
      <w:numFmt w:val="bullet"/>
      <w:lvlText w:val="•"/>
      <w:lvlJc w:val="left"/>
      <w:pPr>
        <w:ind w:left="9365" w:hanging="356"/>
      </w:pPr>
      <w:rPr>
        <w:rFonts w:hint="default"/>
        <w:lang w:val="en-US" w:eastAsia="en-US" w:bidi="en-US"/>
      </w:rPr>
    </w:lvl>
  </w:abstractNum>
  <w:num w:numId="1">
    <w:abstractNumId w:val="3"/>
  </w:num>
  <w:num w:numId="2">
    <w:abstractNumId w:val="1"/>
  </w:num>
  <w:num w:numId="3">
    <w:abstractNumId w:val="16"/>
  </w:num>
  <w:num w:numId="4">
    <w:abstractNumId w:val="17"/>
  </w:num>
  <w:num w:numId="5">
    <w:abstractNumId w:val="8"/>
  </w:num>
  <w:num w:numId="6">
    <w:abstractNumId w:val="11"/>
  </w:num>
  <w:num w:numId="7">
    <w:abstractNumId w:val="14"/>
  </w:num>
  <w:num w:numId="8">
    <w:abstractNumId w:val="13"/>
  </w:num>
  <w:num w:numId="9">
    <w:abstractNumId w:val="12"/>
  </w:num>
  <w:num w:numId="10">
    <w:abstractNumId w:val="2"/>
  </w:num>
  <w:num w:numId="11">
    <w:abstractNumId w:val="4"/>
  </w:num>
  <w:num w:numId="12">
    <w:abstractNumId w:val="6"/>
  </w:num>
  <w:num w:numId="13">
    <w:abstractNumId w:val="7"/>
  </w:num>
  <w:num w:numId="14">
    <w:abstractNumId w:val="15"/>
  </w:num>
  <w:num w:numId="15">
    <w:abstractNumId w:val="10"/>
  </w:num>
  <w:num w:numId="16">
    <w:abstractNumId w:val="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D5FC3"/>
    <w:rsid w:val="00000C39"/>
    <w:rsid w:val="000016F9"/>
    <w:rsid w:val="00002875"/>
    <w:rsid w:val="00004396"/>
    <w:rsid w:val="00012210"/>
    <w:rsid w:val="000130A8"/>
    <w:rsid w:val="00015BA7"/>
    <w:rsid w:val="00023D23"/>
    <w:rsid w:val="00025690"/>
    <w:rsid w:val="00055254"/>
    <w:rsid w:val="00056AEB"/>
    <w:rsid w:val="00057198"/>
    <w:rsid w:val="000705B2"/>
    <w:rsid w:val="000706F9"/>
    <w:rsid w:val="00073B8C"/>
    <w:rsid w:val="0007458A"/>
    <w:rsid w:val="00082FE0"/>
    <w:rsid w:val="00086314"/>
    <w:rsid w:val="000874AB"/>
    <w:rsid w:val="00097B89"/>
    <w:rsid w:val="000A048D"/>
    <w:rsid w:val="000A098C"/>
    <w:rsid w:val="000D2D4C"/>
    <w:rsid w:val="000D3EEA"/>
    <w:rsid w:val="000D3F82"/>
    <w:rsid w:val="000D75A6"/>
    <w:rsid w:val="000E1A45"/>
    <w:rsid w:val="000E31D1"/>
    <w:rsid w:val="000E4879"/>
    <w:rsid w:val="000F26E8"/>
    <w:rsid w:val="00102A31"/>
    <w:rsid w:val="00102E45"/>
    <w:rsid w:val="00107247"/>
    <w:rsid w:val="0011016E"/>
    <w:rsid w:val="00117BD7"/>
    <w:rsid w:val="00134DDB"/>
    <w:rsid w:val="001369B7"/>
    <w:rsid w:val="00143476"/>
    <w:rsid w:val="00145BF3"/>
    <w:rsid w:val="00151790"/>
    <w:rsid w:val="00154D7A"/>
    <w:rsid w:val="00156B19"/>
    <w:rsid w:val="001640D1"/>
    <w:rsid w:val="00166D4B"/>
    <w:rsid w:val="001823C7"/>
    <w:rsid w:val="00182C31"/>
    <w:rsid w:val="00186A49"/>
    <w:rsid w:val="001A5D54"/>
    <w:rsid w:val="001B03D9"/>
    <w:rsid w:val="001B1CF2"/>
    <w:rsid w:val="001B1E04"/>
    <w:rsid w:val="001B28C9"/>
    <w:rsid w:val="001B6ADB"/>
    <w:rsid w:val="001C0DD9"/>
    <w:rsid w:val="001D24A0"/>
    <w:rsid w:val="001D5848"/>
    <w:rsid w:val="001E4157"/>
    <w:rsid w:val="001F13D9"/>
    <w:rsid w:val="001F15E0"/>
    <w:rsid w:val="002060CE"/>
    <w:rsid w:val="00231945"/>
    <w:rsid w:val="00235376"/>
    <w:rsid w:val="002370BC"/>
    <w:rsid w:val="00243BD9"/>
    <w:rsid w:val="00247CBF"/>
    <w:rsid w:val="00270FC6"/>
    <w:rsid w:val="0028149D"/>
    <w:rsid w:val="002B622A"/>
    <w:rsid w:val="002C241A"/>
    <w:rsid w:val="002C45D4"/>
    <w:rsid w:val="002D24A9"/>
    <w:rsid w:val="002E6B09"/>
    <w:rsid w:val="002F0BC2"/>
    <w:rsid w:val="00303147"/>
    <w:rsid w:val="003122FC"/>
    <w:rsid w:val="0031470C"/>
    <w:rsid w:val="003174FF"/>
    <w:rsid w:val="00317CC8"/>
    <w:rsid w:val="00322F5B"/>
    <w:rsid w:val="00324E38"/>
    <w:rsid w:val="00362D74"/>
    <w:rsid w:val="0039132B"/>
    <w:rsid w:val="003A0EBF"/>
    <w:rsid w:val="003C69F2"/>
    <w:rsid w:val="003C744C"/>
    <w:rsid w:val="003D19B7"/>
    <w:rsid w:val="003E3271"/>
    <w:rsid w:val="00405B65"/>
    <w:rsid w:val="00417556"/>
    <w:rsid w:val="00417952"/>
    <w:rsid w:val="004244F3"/>
    <w:rsid w:val="004253A7"/>
    <w:rsid w:val="00433234"/>
    <w:rsid w:val="00453575"/>
    <w:rsid w:val="00465DD3"/>
    <w:rsid w:val="0049011D"/>
    <w:rsid w:val="0049413B"/>
    <w:rsid w:val="004B3766"/>
    <w:rsid w:val="004D4EBF"/>
    <w:rsid w:val="004D7BD1"/>
    <w:rsid w:val="004F2830"/>
    <w:rsid w:val="004F5D1F"/>
    <w:rsid w:val="004F7D3C"/>
    <w:rsid w:val="00506569"/>
    <w:rsid w:val="00511F5B"/>
    <w:rsid w:val="00542A78"/>
    <w:rsid w:val="005546C5"/>
    <w:rsid w:val="00563360"/>
    <w:rsid w:val="00592A56"/>
    <w:rsid w:val="005A1CF6"/>
    <w:rsid w:val="005A5C39"/>
    <w:rsid w:val="005A7397"/>
    <w:rsid w:val="005B1DEF"/>
    <w:rsid w:val="005B29F6"/>
    <w:rsid w:val="005C0C56"/>
    <w:rsid w:val="005C6E3E"/>
    <w:rsid w:val="005D10D5"/>
    <w:rsid w:val="005D1EE0"/>
    <w:rsid w:val="005D5B31"/>
    <w:rsid w:val="005D5E5E"/>
    <w:rsid w:val="005E4E89"/>
    <w:rsid w:val="005E634E"/>
    <w:rsid w:val="005F267D"/>
    <w:rsid w:val="005F7033"/>
    <w:rsid w:val="00600CCE"/>
    <w:rsid w:val="006015C9"/>
    <w:rsid w:val="0060776A"/>
    <w:rsid w:val="00616E76"/>
    <w:rsid w:val="006177CC"/>
    <w:rsid w:val="006200AD"/>
    <w:rsid w:val="00621B57"/>
    <w:rsid w:val="00623332"/>
    <w:rsid w:val="00627451"/>
    <w:rsid w:val="006337A9"/>
    <w:rsid w:val="0064161E"/>
    <w:rsid w:val="0064513F"/>
    <w:rsid w:val="00671F89"/>
    <w:rsid w:val="006830DF"/>
    <w:rsid w:val="00684958"/>
    <w:rsid w:val="0068774A"/>
    <w:rsid w:val="006A6B79"/>
    <w:rsid w:val="006B116A"/>
    <w:rsid w:val="006B1351"/>
    <w:rsid w:val="006D10C5"/>
    <w:rsid w:val="00723A4D"/>
    <w:rsid w:val="00723F11"/>
    <w:rsid w:val="007257F2"/>
    <w:rsid w:val="0072742F"/>
    <w:rsid w:val="00741F1C"/>
    <w:rsid w:val="00742D4B"/>
    <w:rsid w:val="00744AC3"/>
    <w:rsid w:val="00747E7A"/>
    <w:rsid w:val="007575EB"/>
    <w:rsid w:val="007602F7"/>
    <w:rsid w:val="00762389"/>
    <w:rsid w:val="0076290A"/>
    <w:rsid w:val="00763B3B"/>
    <w:rsid w:val="00767F62"/>
    <w:rsid w:val="007914F7"/>
    <w:rsid w:val="00795A7B"/>
    <w:rsid w:val="007A566D"/>
    <w:rsid w:val="007B6634"/>
    <w:rsid w:val="007D306D"/>
    <w:rsid w:val="007D6201"/>
    <w:rsid w:val="007E0AE4"/>
    <w:rsid w:val="007F6258"/>
    <w:rsid w:val="00812289"/>
    <w:rsid w:val="00815982"/>
    <w:rsid w:val="00822BFA"/>
    <w:rsid w:val="008235E8"/>
    <w:rsid w:val="0082408D"/>
    <w:rsid w:val="00833792"/>
    <w:rsid w:val="00834EB8"/>
    <w:rsid w:val="00836614"/>
    <w:rsid w:val="00857E1F"/>
    <w:rsid w:val="00860E4A"/>
    <w:rsid w:val="0087742D"/>
    <w:rsid w:val="008A15DA"/>
    <w:rsid w:val="008A4F83"/>
    <w:rsid w:val="008D326E"/>
    <w:rsid w:val="008D42FE"/>
    <w:rsid w:val="008E18F3"/>
    <w:rsid w:val="008F4D6D"/>
    <w:rsid w:val="008F55A5"/>
    <w:rsid w:val="00902A15"/>
    <w:rsid w:val="0091351E"/>
    <w:rsid w:val="00917FD5"/>
    <w:rsid w:val="0092009B"/>
    <w:rsid w:val="00920580"/>
    <w:rsid w:val="00935521"/>
    <w:rsid w:val="0093573E"/>
    <w:rsid w:val="0093744A"/>
    <w:rsid w:val="00947F82"/>
    <w:rsid w:val="00960890"/>
    <w:rsid w:val="00964376"/>
    <w:rsid w:val="00967895"/>
    <w:rsid w:val="009863EA"/>
    <w:rsid w:val="00997293"/>
    <w:rsid w:val="009A2D2A"/>
    <w:rsid w:val="009A73D6"/>
    <w:rsid w:val="009B3807"/>
    <w:rsid w:val="009B4FFE"/>
    <w:rsid w:val="009B558A"/>
    <w:rsid w:val="009C63A7"/>
    <w:rsid w:val="009D0292"/>
    <w:rsid w:val="009D22BA"/>
    <w:rsid w:val="009E3938"/>
    <w:rsid w:val="009E69B4"/>
    <w:rsid w:val="009F004B"/>
    <w:rsid w:val="009F507A"/>
    <w:rsid w:val="009F6AF5"/>
    <w:rsid w:val="00A02128"/>
    <w:rsid w:val="00A029E2"/>
    <w:rsid w:val="00A127F4"/>
    <w:rsid w:val="00A23B66"/>
    <w:rsid w:val="00A245AC"/>
    <w:rsid w:val="00A25BE5"/>
    <w:rsid w:val="00A26CA4"/>
    <w:rsid w:val="00A2725A"/>
    <w:rsid w:val="00A3330F"/>
    <w:rsid w:val="00A3360A"/>
    <w:rsid w:val="00A37228"/>
    <w:rsid w:val="00A562F9"/>
    <w:rsid w:val="00A704FD"/>
    <w:rsid w:val="00A71AC5"/>
    <w:rsid w:val="00A8669F"/>
    <w:rsid w:val="00A963E8"/>
    <w:rsid w:val="00AB33A4"/>
    <w:rsid w:val="00AB69A8"/>
    <w:rsid w:val="00AC28D0"/>
    <w:rsid w:val="00AE67C5"/>
    <w:rsid w:val="00AF1384"/>
    <w:rsid w:val="00B00B4E"/>
    <w:rsid w:val="00B0562C"/>
    <w:rsid w:val="00B13BCD"/>
    <w:rsid w:val="00B20B54"/>
    <w:rsid w:val="00B245F2"/>
    <w:rsid w:val="00B4524F"/>
    <w:rsid w:val="00B45C52"/>
    <w:rsid w:val="00B53EF5"/>
    <w:rsid w:val="00B772D8"/>
    <w:rsid w:val="00BA49DF"/>
    <w:rsid w:val="00BA76EF"/>
    <w:rsid w:val="00BB5010"/>
    <w:rsid w:val="00BB6CE6"/>
    <w:rsid w:val="00BD266D"/>
    <w:rsid w:val="00BD2CA2"/>
    <w:rsid w:val="00BE2E11"/>
    <w:rsid w:val="00BE6759"/>
    <w:rsid w:val="00BF39C6"/>
    <w:rsid w:val="00C11C12"/>
    <w:rsid w:val="00C13110"/>
    <w:rsid w:val="00C22067"/>
    <w:rsid w:val="00C23317"/>
    <w:rsid w:val="00C521E0"/>
    <w:rsid w:val="00C528A4"/>
    <w:rsid w:val="00C5727D"/>
    <w:rsid w:val="00C6292E"/>
    <w:rsid w:val="00C67786"/>
    <w:rsid w:val="00C81805"/>
    <w:rsid w:val="00C824AA"/>
    <w:rsid w:val="00C86079"/>
    <w:rsid w:val="00C90484"/>
    <w:rsid w:val="00CA5D52"/>
    <w:rsid w:val="00CA74E6"/>
    <w:rsid w:val="00CB76EA"/>
    <w:rsid w:val="00CD6135"/>
    <w:rsid w:val="00CF51AF"/>
    <w:rsid w:val="00CF6D26"/>
    <w:rsid w:val="00D116EC"/>
    <w:rsid w:val="00D1712F"/>
    <w:rsid w:val="00D21400"/>
    <w:rsid w:val="00D25CFB"/>
    <w:rsid w:val="00D36E97"/>
    <w:rsid w:val="00D4274C"/>
    <w:rsid w:val="00D5043E"/>
    <w:rsid w:val="00D509E1"/>
    <w:rsid w:val="00D52289"/>
    <w:rsid w:val="00D5658E"/>
    <w:rsid w:val="00D56ABB"/>
    <w:rsid w:val="00D62398"/>
    <w:rsid w:val="00D67C87"/>
    <w:rsid w:val="00D72147"/>
    <w:rsid w:val="00D87ACB"/>
    <w:rsid w:val="00DB0933"/>
    <w:rsid w:val="00DC26CD"/>
    <w:rsid w:val="00DD5FC3"/>
    <w:rsid w:val="00DD7FA4"/>
    <w:rsid w:val="00DE0DEF"/>
    <w:rsid w:val="00DE17F9"/>
    <w:rsid w:val="00E0083B"/>
    <w:rsid w:val="00E01159"/>
    <w:rsid w:val="00E03473"/>
    <w:rsid w:val="00E101A2"/>
    <w:rsid w:val="00E1062D"/>
    <w:rsid w:val="00E11C58"/>
    <w:rsid w:val="00E14BD5"/>
    <w:rsid w:val="00E3275E"/>
    <w:rsid w:val="00E331CC"/>
    <w:rsid w:val="00E35A72"/>
    <w:rsid w:val="00E37D49"/>
    <w:rsid w:val="00E45992"/>
    <w:rsid w:val="00E46A0D"/>
    <w:rsid w:val="00E509E8"/>
    <w:rsid w:val="00E53D04"/>
    <w:rsid w:val="00E57B80"/>
    <w:rsid w:val="00E62C87"/>
    <w:rsid w:val="00E90DB6"/>
    <w:rsid w:val="00E93E00"/>
    <w:rsid w:val="00EB2394"/>
    <w:rsid w:val="00EC0443"/>
    <w:rsid w:val="00EC334F"/>
    <w:rsid w:val="00EC4816"/>
    <w:rsid w:val="00EE4DD8"/>
    <w:rsid w:val="00EE5033"/>
    <w:rsid w:val="00F05A40"/>
    <w:rsid w:val="00F07F6A"/>
    <w:rsid w:val="00F14587"/>
    <w:rsid w:val="00F179E0"/>
    <w:rsid w:val="00F21CFD"/>
    <w:rsid w:val="00F40A7B"/>
    <w:rsid w:val="00F73D1E"/>
    <w:rsid w:val="00F84715"/>
    <w:rsid w:val="00F873D5"/>
    <w:rsid w:val="00F911F8"/>
    <w:rsid w:val="00F954EE"/>
    <w:rsid w:val="00F96659"/>
    <w:rsid w:val="00FA577A"/>
    <w:rsid w:val="00FB7CFC"/>
    <w:rsid w:val="00FC0D01"/>
    <w:rsid w:val="00FC131A"/>
    <w:rsid w:val="00FC2B80"/>
    <w:rsid w:val="00FC7395"/>
    <w:rsid w:val="00FD03D8"/>
    <w:rsid w:val="00FD48BB"/>
    <w:rsid w:val="00FD66B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6A3A6"/>
  <w15:docId w15:val="{93C241A4-FD70-42F1-8DBC-1C1A1D52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D52"/>
    <w:rPr>
      <w:rFonts w:ascii="Arial" w:eastAsia="Arial" w:hAnsi="Arial" w:cs="Arial"/>
      <w:lang w:bidi="en-US"/>
    </w:rPr>
  </w:style>
  <w:style w:type="paragraph" w:styleId="Heading1">
    <w:name w:val="heading 1"/>
    <w:basedOn w:val="Normal"/>
    <w:uiPriority w:val="9"/>
    <w:qFormat/>
    <w:rsid w:val="00CA5D52"/>
    <w:pPr>
      <w:ind w:right="550"/>
      <w:jc w:val="right"/>
      <w:outlineLvl w:val="0"/>
    </w:pPr>
    <w:rPr>
      <w:b/>
      <w:bCs/>
      <w:sz w:val="24"/>
      <w:szCs w:val="24"/>
      <w:u w:val="single" w:color="000000"/>
    </w:rPr>
  </w:style>
  <w:style w:type="paragraph" w:styleId="Heading2">
    <w:name w:val="heading 2"/>
    <w:basedOn w:val="Normal"/>
    <w:uiPriority w:val="9"/>
    <w:unhideWhenUsed/>
    <w:qFormat/>
    <w:rsid w:val="00CA5D52"/>
    <w:pPr>
      <w:ind w:left="1111"/>
      <w:outlineLvl w:val="1"/>
    </w:pPr>
    <w:rPr>
      <w:sz w:val="24"/>
      <w:szCs w:val="24"/>
    </w:rPr>
  </w:style>
  <w:style w:type="paragraph" w:styleId="Heading3">
    <w:name w:val="heading 3"/>
    <w:basedOn w:val="Normal"/>
    <w:uiPriority w:val="9"/>
    <w:unhideWhenUsed/>
    <w:qFormat/>
    <w:rsid w:val="00CA5D52"/>
    <w:pPr>
      <w:spacing w:before="94"/>
      <w:ind w:left="1557" w:hanging="452"/>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A5D52"/>
  </w:style>
  <w:style w:type="paragraph" w:styleId="ListParagraph">
    <w:name w:val="List Paragraph"/>
    <w:basedOn w:val="Normal"/>
    <w:uiPriority w:val="99"/>
    <w:qFormat/>
    <w:rsid w:val="00CA5D52"/>
    <w:pPr>
      <w:spacing w:before="120"/>
      <w:ind w:left="1558" w:hanging="447"/>
      <w:jc w:val="both"/>
    </w:pPr>
  </w:style>
  <w:style w:type="paragraph" w:customStyle="1" w:styleId="TableParagraph">
    <w:name w:val="Table Paragraph"/>
    <w:basedOn w:val="Normal"/>
    <w:uiPriority w:val="1"/>
    <w:qFormat/>
    <w:rsid w:val="00CA5D52"/>
  </w:style>
  <w:style w:type="paragraph" w:styleId="Header">
    <w:name w:val="header"/>
    <w:basedOn w:val="Normal"/>
    <w:link w:val="HeaderChar"/>
    <w:uiPriority w:val="99"/>
    <w:unhideWhenUsed/>
    <w:rsid w:val="00C23317"/>
    <w:pPr>
      <w:tabs>
        <w:tab w:val="center" w:pos="4513"/>
        <w:tab w:val="right" w:pos="9026"/>
      </w:tabs>
    </w:pPr>
  </w:style>
  <w:style w:type="character" w:customStyle="1" w:styleId="HeaderChar">
    <w:name w:val="Header Char"/>
    <w:basedOn w:val="DefaultParagraphFont"/>
    <w:link w:val="Header"/>
    <w:uiPriority w:val="99"/>
    <w:rsid w:val="00C23317"/>
    <w:rPr>
      <w:rFonts w:ascii="Arial" w:eastAsia="Arial" w:hAnsi="Arial" w:cs="Arial"/>
      <w:lang w:bidi="en-US"/>
    </w:rPr>
  </w:style>
  <w:style w:type="paragraph" w:styleId="Footer">
    <w:name w:val="footer"/>
    <w:basedOn w:val="Normal"/>
    <w:link w:val="FooterChar"/>
    <w:uiPriority w:val="99"/>
    <w:unhideWhenUsed/>
    <w:rsid w:val="00C23317"/>
    <w:pPr>
      <w:tabs>
        <w:tab w:val="center" w:pos="4513"/>
        <w:tab w:val="right" w:pos="9026"/>
      </w:tabs>
    </w:pPr>
  </w:style>
  <w:style w:type="character" w:customStyle="1" w:styleId="FooterChar">
    <w:name w:val="Footer Char"/>
    <w:basedOn w:val="DefaultParagraphFont"/>
    <w:link w:val="Footer"/>
    <w:uiPriority w:val="99"/>
    <w:rsid w:val="00C23317"/>
    <w:rPr>
      <w:rFonts w:ascii="Arial" w:eastAsia="Arial" w:hAnsi="Arial" w:cs="Arial"/>
      <w:lang w:bidi="en-US"/>
    </w:rPr>
  </w:style>
  <w:style w:type="paragraph" w:styleId="BalloonText">
    <w:name w:val="Balloon Text"/>
    <w:basedOn w:val="Normal"/>
    <w:link w:val="BalloonTextChar"/>
    <w:uiPriority w:val="99"/>
    <w:semiHidden/>
    <w:unhideWhenUsed/>
    <w:rsid w:val="001C0DD9"/>
    <w:rPr>
      <w:rFonts w:ascii="Tahoma" w:hAnsi="Tahoma" w:cs="Tahoma"/>
      <w:sz w:val="16"/>
      <w:szCs w:val="16"/>
    </w:rPr>
  </w:style>
  <w:style w:type="character" w:customStyle="1" w:styleId="BalloonTextChar">
    <w:name w:val="Balloon Text Char"/>
    <w:basedOn w:val="DefaultParagraphFont"/>
    <w:link w:val="BalloonText"/>
    <w:uiPriority w:val="99"/>
    <w:semiHidden/>
    <w:rsid w:val="001C0DD9"/>
    <w:rPr>
      <w:rFonts w:ascii="Tahoma" w:eastAsia="Arial" w:hAnsi="Tahoma" w:cs="Tahoma"/>
      <w:sz w:val="16"/>
      <w:szCs w:val="16"/>
      <w:lang w:bidi="en-US"/>
    </w:rPr>
  </w:style>
  <w:style w:type="character" w:customStyle="1" w:styleId="BodyTextChar">
    <w:name w:val="Body Text Char"/>
    <w:basedOn w:val="DefaultParagraphFont"/>
    <w:link w:val="BodyText"/>
    <w:rsid w:val="00762389"/>
    <w:rPr>
      <w:rFonts w:ascii="Arial" w:eastAsia="Arial" w:hAnsi="Arial" w:cs="Arial"/>
      <w:lang w:bidi="en-US"/>
    </w:rPr>
  </w:style>
  <w:style w:type="character" w:styleId="Hyperlink">
    <w:name w:val="Hyperlink"/>
    <w:basedOn w:val="DefaultParagraphFont"/>
    <w:uiPriority w:val="99"/>
    <w:rsid w:val="00E53D04"/>
    <w:rPr>
      <w:rFonts w:cs="Times New Roman"/>
      <w:color w:val="0000FF"/>
      <w:u w:val="single"/>
    </w:rPr>
  </w:style>
  <w:style w:type="paragraph" w:styleId="NoSpacing">
    <w:name w:val="No Spacing"/>
    <w:uiPriority w:val="1"/>
    <w:qFormat/>
    <w:rsid w:val="008A4F83"/>
    <w:rPr>
      <w:rFonts w:ascii="Arial" w:eastAsia="Arial" w:hAnsi="Arial" w:cs="Arial"/>
      <w:lang w:bidi="en-US"/>
    </w:rPr>
  </w:style>
  <w:style w:type="paragraph" w:customStyle="1" w:styleId="Default">
    <w:name w:val="Default"/>
    <w:rsid w:val="0049413B"/>
    <w:pPr>
      <w:widowControl/>
      <w:adjustRightInd w:val="0"/>
    </w:pPr>
    <w:rPr>
      <w:rFonts w:ascii="Book Antiqua" w:hAnsi="Book Antiqua" w:cs="Book Antiqua"/>
      <w:color w:val="000000"/>
      <w:sz w:val="24"/>
      <w:szCs w:val="24"/>
      <w:lang w:val="en-IN"/>
    </w:rPr>
  </w:style>
  <w:style w:type="paragraph" w:styleId="FootnoteText">
    <w:name w:val="footnote text"/>
    <w:basedOn w:val="Normal"/>
    <w:link w:val="FootnoteTextChar"/>
    <w:semiHidden/>
    <w:rsid w:val="003174FF"/>
    <w:pPr>
      <w:widowControl/>
      <w:suppressAutoHyphens/>
      <w:autoSpaceDE/>
      <w:autoSpaceDN/>
    </w:pPr>
    <w:rPr>
      <w:rFonts w:ascii="Times New Roman" w:eastAsia="Times New Roman" w:hAnsi="Times New Roman" w:cs="Times New Roman"/>
      <w:sz w:val="20"/>
      <w:szCs w:val="20"/>
      <w:lang w:eastAsia="ar-SA" w:bidi="ar-SA"/>
    </w:rPr>
  </w:style>
  <w:style w:type="character" w:customStyle="1" w:styleId="FootnoteTextChar">
    <w:name w:val="Footnote Text Char"/>
    <w:basedOn w:val="DefaultParagraphFont"/>
    <w:link w:val="FootnoteText"/>
    <w:semiHidden/>
    <w:rsid w:val="003174FF"/>
    <w:rPr>
      <w:rFonts w:ascii="Times New Roman" w:eastAsia="Times New Roman" w:hAnsi="Times New Roman" w:cs="Times New Roman"/>
      <w:sz w:val="20"/>
      <w:szCs w:val="20"/>
      <w:lang w:eastAsia="ar-SA"/>
    </w:rPr>
  </w:style>
  <w:style w:type="paragraph" w:customStyle="1" w:styleId="Char">
    <w:name w:val="Char"/>
    <w:basedOn w:val="Normal"/>
    <w:rsid w:val="00B13BCD"/>
    <w:pPr>
      <w:widowControl/>
      <w:autoSpaceDE/>
      <w:autoSpaceDN/>
      <w:spacing w:after="160" w:line="240" w:lineRule="exact"/>
    </w:pPr>
    <w:rPr>
      <w:rFonts w:ascii="Verdana" w:eastAsia="MS Mincho" w:hAnsi="Verdana" w:cs="Times New Roman"/>
      <w:sz w:val="20"/>
      <w:szCs w:val="20"/>
      <w:lang w:bidi="ar-SA"/>
    </w:rPr>
  </w:style>
  <w:style w:type="paragraph" w:styleId="List">
    <w:name w:val="List"/>
    <w:basedOn w:val="Normal"/>
    <w:rsid w:val="007D306D"/>
    <w:pPr>
      <w:widowControl/>
      <w:autoSpaceDE/>
      <w:autoSpaceDN/>
      <w:ind w:left="360" w:hanging="360"/>
    </w:pPr>
    <w:rPr>
      <w:rFonts w:ascii="Times New Roman" w:eastAsia="Times New Roman" w:hAnsi="Times New Roman" w:cs="Times New Roman"/>
      <w:sz w:val="24"/>
      <w:szCs w:val="24"/>
      <w:lang w:bidi="ar-SA"/>
    </w:rPr>
  </w:style>
  <w:style w:type="table" w:styleId="TableGrid">
    <w:name w:val="Table Grid"/>
    <w:basedOn w:val="TableNormal"/>
    <w:uiPriority w:val="39"/>
    <w:rsid w:val="00641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22668">
      <w:bodyDiv w:val="1"/>
      <w:marLeft w:val="0"/>
      <w:marRight w:val="0"/>
      <w:marTop w:val="0"/>
      <w:marBottom w:val="0"/>
      <w:divBdr>
        <w:top w:val="none" w:sz="0" w:space="0" w:color="auto"/>
        <w:left w:val="none" w:sz="0" w:space="0" w:color="auto"/>
        <w:bottom w:val="none" w:sz="0" w:space="0" w:color="auto"/>
        <w:right w:val="none" w:sz="0" w:space="0" w:color="auto"/>
      </w:divBdr>
    </w:div>
    <w:div w:id="530730989">
      <w:bodyDiv w:val="1"/>
      <w:marLeft w:val="0"/>
      <w:marRight w:val="0"/>
      <w:marTop w:val="0"/>
      <w:marBottom w:val="0"/>
      <w:divBdr>
        <w:top w:val="none" w:sz="0" w:space="0" w:color="auto"/>
        <w:left w:val="none" w:sz="0" w:space="0" w:color="auto"/>
        <w:bottom w:val="none" w:sz="0" w:space="0" w:color="auto"/>
        <w:right w:val="none" w:sz="0" w:space="0" w:color="auto"/>
      </w:divBdr>
    </w:div>
    <w:div w:id="579951687">
      <w:bodyDiv w:val="1"/>
      <w:marLeft w:val="0"/>
      <w:marRight w:val="0"/>
      <w:marTop w:val="0"/>
      <w:marBottom w:val="0"/>
      <w:divBdr>
        <w:top w:val="none" w:sz="0" w:space="0" w:color="auto"/>
        <w:left w:val="none" w:sz="0" w:space="0" w:color="auto"/>
        <w:bottom w:val="none" w:sz="0" w:space="0" w:color="auto"/>
        <w:right w:val="none" w:sz="0" w:space="0" w:color="auto"/>
      </w:divBdr>
    </w:div>
    <w:div w:id="795221083">
      <w:bodyDiv w:val="1"/>
      <w:marLeft w:val="0"/>
      <w:marRight w:val="0"/>
      <w:marTop w:val="0"/>
      <w:marBottom w:val="0"/>
      <w:divBdr>
        <w:top w:val="none" w:sz="0" w:space="0" w:color="auto"/>
        <w:left w:val="none" w:sz="0" w:space="0" w:color="auto"/>
        <w:bottom w:val="none" w:sz="0" w:space="0" w:color="auto"/>
        <w:right w:val="none" w:sz="0" w:space="0" w:color="auto"/>
      </w:divBdr>
    </w:div>
    <w:div w:id="1489059622">
      <w:bodyDiv w:val="1"/>
      <w:marLeft w:val="0"/>
      <w:marRight w:val="0"/>
      <w:marTop w:val="0"/>
      <w:marBottom w:val="0"/>
      <w:divBdr>
        <w:top w:val="none" w:sz="0" w:space="0" w:color="auto"/>
        <w:left w:val="none" w:sz="0" w:space="0" w:color="auto"/>
        <w:bottom w:val="none" w:sz="0" w:space="0" w:color="auto"/>
        <w:right w:val="none" w:sz="0" w:space="0" w:color="auto"/>
      </w:divBdr>
    </w:div>
    <w:div w:id="1538735476">
      <w:bodyDiv w:val="1"/>
      <w:marLeft w:val="0"/>
      <w:marRight w:val="0"/>
      <w:marTop w:val="0"/>
      <w:marBottom w:val="0"/>
      <w:divBdr>
        <w:top w:val="none" w:sz="0" w:space="0" w:color="auto"/>
        <w:left w:val="none" w:sz="0" w:space="0" w:color="auto"/>
        <w:bottom w:val="none" w:sz="0" w:space="0" w:color="auto"/>
        <w:right w:val="none" w:sz="0" w:space="0" w:color="auto"/>
      </w:divBdr>
    </w:div>
    <w:div w:id="1737510292">
      <w:bodyDiv w:val="1"/>
      <w:marLeft w:val="0"/>
      <w:marRight w:val="0"/>
      <w:marTop w:val="0"/>
      <w:marBottom w:val="0"/>
      <w:divBdr>
        <w:top w:val="none" w:sz="0" w:space="0" w:color="auto"/>
        <w:left w:val="none" w:sz="0" w:space="0" w:color="auto"/>
        <w:bottom w:val="none" w:sz="0" w:space="0" w:color="auto"/>
        <w:right w:val="none" w:sz="0" w:space="0" w:color="auto"/>
      </w:divBdr>
    </w:div>
    <w:div w:id="1815563056">
      <w:bodyDiv w:val="1"/>
      <w:marLeft w:val="0"/>
      <w:marRight w:val="0"/>
      <w:marTop w:val="0"/>
      <w:marBottom w:val="0"/>
      <w:divBdr>
        <w:top w:val="none" w:sz="0" w:space="0" w:color="auto"/>
        <w:left w:val="none" w:sz="0" w:space="0" w:color="auto"/>
        <w:bottom w:val="none" w:sz="0" w:space="0" w:color="auto"/>
        <w:right w:val="none" w:sz="0" w:space="0" w:color="auto"/>
      </w:divBdr>
    </w:div>
    <w:div w:id="213452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63c3d506-ca89-4cc9-8a1d-9a3cde9f65f8</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763C-1651-44F8-B0B5-AF839DB8FFE7}">
  <ds:schemaRefs>
    <ds:schemaRef ds:uri="http://schemas.titus.com/TitusProperties/"/>
    <ds:schemaRef ds:uri=""/>
  </ds:schemaRefs>
</ds:datastoreItem>
</file>

<file path=customXml/itemProps2.xml><?xml version="1.0" encoding="utf-8"?>
<ds:datastoreItem xmlns:ds="http://schemas.openxmlformats.org/officeDocument/2006/customXml" ds:itemID="{EC54C0C9-98DA-4737-9177-6FAC1E6E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1060</Words>
  <Characters>5643</Characters>
  <Application>Microsoft Office Word</Application>
  <DocSecurity>0</DocSecurity>
  <Lines>256</Lines>
  <Paragraphs>113</Paragraphs>
  <ScaleCrop>false</ScaleCrop>
  <HeadingPairs>
    <vt:vector size="2" baseType="variant">
      <vt:variant>
        <vt:lpstr>Title</vt:lpstr>
      </vt:variant>
      <vt:variant>
        <vt:i4>1</vt:i4>
      </vt:variant>
    </vt:vector>
  </HeadingPairs>
  <TitlesOfParts>
    <vt:vector size="1" baseType="lpstr">
      <vt:lpstr>Issued to: M/s</vt:lpstr>
    </vt:vector>
  </TitlesOfParts>
  <Company>Microsoft</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 to: M/s</dc:title>
  <dc:creator>pc-263</dc:creator>
  <cp:lastModifiedBy>SANDEEP KUMAR</cp:lastModifiedBy>
  <cp:revision>97</cp:revision>
  <cp:lastPrinted>2020-12-23T13:36:00Z</cp:lastPrinted>
  <dcterms:created xsi:type="dcterms:W3CDTF">2020-03-18T08:01:00Z</dcterms:created>
  <dcterms:modified xsi:type="dcterms:W3CDTF">2026-05-08T06:49:00Z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Creator">
    <vt:lpwstr>Acrobat PDFMaker 9.0 for Word</vt:lpwstr>
  </property>
  <property fmtid="{D5CDD505-2E9C-101B-9397-08002B2CF9AE}" pid="4" name="LastSaved">
    <vt:filetime>2020-03-13T00:00:00Z</vt:filetime>
  </property>
  <property fmtid="{D5CDD505-2E9C-101B-9397-08002B2CF9AE}" pid="5" name="Classification">
    <vt:lpwstr>B1U3</vt:lpwstr>
  </property>
  <property fmtid="{D5CDD505-2E9C-101B-9397-08002B2CF9AE}" pid="6" name="TitusGUID">
    <vt:lpwstr>63c3d506-ca89-4cc9-8a1d-9a3cde9f65f8</vt:lpwstr>
  </property>
</Properties>
</file>